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D7D8B" w14:textId="4CC53BB0" w:rsidR="000C4729" w:rsidRPr="000F7476" w:rsidRDefault="00000000" w:rsidP="00B347FF">
      <w:pPr>
        <w:tabs>
          <w:tab w:val="left" w:pos="3330"/>
        </w:tabs>
        <w:jc w:val="both"/>
        <w:rPr>
          <w:rFonts w:asciiTheme="minorHAnsi" w:hAnsiTheme="minorHAnsi" w:cstheme="minorHAnsi"/>
          <w:b/>
          <w:bCs/>
        </w:rPr>
      </w:pPr>
      <w:sdt>
        <w:sdtPr>
          <w:rPr>
            <w:rFonts w:asciiTheme="minorHAnsi" w:hAnsiTheme="minorHAnsi" w:cstheme="minorHAnsi"/>
            <w:b/>
            <w:bCs/>
            <w:sz w:val="28"/>
            <w:szCs w:val="28"/>
          </w:rPr>
          <w:alias w:val="Title"/>
          <w:tag w:val=""/>
          <w:id w:val="-678662133"/>
          <w:placeholder>
            <w:docPart w:val="1FBE7A34F52047698A057BB03EB7E754"/>
          </w:placeholder>
          <w:dataBinding w:prefixMappings="xmlns:ns0='http://purl.org/dc/elements/1.1/' xmlns:ns1='http://schemas.openxmlformats.org/package/2006/metadata/core-properties' " w:xpath="/ns1:coreProperties[1]/ns0:title[1]" w:storeItemID="{6C3C8BC8-F283-45AE-878A-BAB7291924A1}"/>
          <w:text/>
        </w:sdtPr>
        <w:sdtContent>
          <w:r w:rsidR="00422992">
            <w:rPr>
              <w:rFonts w:asciiTheme="minorHAnsi" w:hAnsiTheme="minorHAnsi" w:cstheme="minorHAnsi"/>
              <w:b/>
              <w:bCs/>
              <w:sz w:val="28"/>
              <w:szCs w:val="28"/>
            </w:rPr>
            <w:t>Bunker Plan</w:t>
          </w:r>
        </w:sdtContent>
      </w:sdt>
      <w:r w:rsidR="00B347FF">
        <w:rPr>
          <w:rFonts w:asciiTheme="minorHAnsi" w:hAnsiTheme="minorHAnsi" w:cstheme="minorHAnsi"/>
          <w:b/>
          <w:bCs/>
          <w:sz w:val="28"/>
          <w:szCs w:val="28"/>
        </w:rPr>
        <w:tab/>
        <w:t xml:space="preserve">                         Vessel: </w:t>
      </w:r>
    </w:p>
    <w:p w14:paraId="3C02136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rPr>
        <w:t>The Chief Engineer is to prepare a bunkering plan prior to the pre-transfer conference. The plan is to be retained onboard along with the bunker delivery note/Sludge or Bilge water receipt in the MARPOL Annex VI file and retained on board for a period of at least 3 years.</w:t>
      </w:r>
    </w:p>
    <w:p w14:paraId="36AF4F47"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7E81301B" w14:textId="56B5EC04"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rPr>
        <w:t xml:space="preserve">The Bunker Plan is to be developed in accordance with the requirements of the </w:t>
      </w:r>
      <w:r w:rsidR="006A3638">
        <w:rPr>
          <w:rFonts w:asciiTheme="minorHAnsi" w:hAnsiTheme="minorHAnsi" w:cstheme="minorHAnsi"/>
        </w:rPr>
        <w:t>S</w:t>
      </w:r>
      <w:r w:rsidRPr="000F7476">
        <w:rPr>
          <w:rFonts w:asciiTheme="minorHAnsi" w:hAnsiTheme="minorHAnsi" w:cstheme="minorHAnsi"/>
        </w:rPr>
        <w:t>MS Fleet Operations Procedures.</w:t>
      </w:r>
    </w:p>
    <w:p w14:paraId="3D1F696E" w14:textId="77777777" w:rsidR="000C4729" w:rsidRPr="000F7476" w:rsidRDefault="000C4729" w:rsidP="005674F5">
      <w:pPr>
        <w:pStyle w:val="Header"/>
        <w:jc w:val="both"/>
        <w:rPr>
          <w:rFonts w:asciiTheme="minorHAnsi" w:hAnsiTheme="minorHAnsi" w:cstheme="minorHAnsi"/>
          <w:b/>
          <w:color w:val="000000"/>
          <w:szCs w:val="22"/>
        </w:rPr>
      </w:pPr>
    </w:p>
    <w:p w14:paraId="791C70E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0000FF"/>
        </w:rPr>
      </w:pPr>
      <w:r w:rsidRPr="000F7476">
        <w:rPr>
          <w:rFonts w:asciiTheme="minorHAnsi" w:hAnsiTheme="minorHAnsi" w:cstheme="minorHAnsi"/>
          <w:color w:val="000000"/>
        </w:rPr>
        <w:t>Port________________________________      Date___________________________________</w:t>
      </w:r>
    </w:p>
    <w:p w14:paraId="53246D37" w14:textId="77777777" w:rsidR="000C4729" w:rsidRPr="000F7476" w:rsidRDefault="000C4729" w:rsidP="005674F5">
      <w:pPr>
        <w:pStyle w:val="BodyText"/>
        <w:jc w:val="both"/>
        <w:rPr>
          <w:rFonts w:asciiTheme="minorHAnsi" w:hAnsiTheme="minorHAnsi" w:cstheme="minorHAnsi"/>
          <w:sz w:val="22"/>
          <w:szCs w:val="22"/>
        </w:rPr>
      </w:pPr>
    </w:p>
    <w:p w14:paraId="377EB76A" w14:textId="77777777" w:rsidR="000C4729" w:rsidRPr="000F7476" w:rsidRDefault="000C4729" w:rsidP="005674F5">
      <w:pPr>
        <w:pStyle w:val="BodyText"/>
        <w:jc w:val="both"/>
        <w:rPr>
          <w:rFonts w:asciiTheme="minorHAnsi" w:hAnsiTheme="minorHAnsi" w:cstheme="minorHAnsi"/>
          <w:sz w:val="22"/>
          <w:szCs w:val="22"/>
        </w:rPr>
      </w:pPr>
      <w:r w:rsidRPr="000F7476">
        <w:rPr>
          <w:rFonts w:asciiTheme="minorHAnsi" w:hAnsiTheme="minorHAnsi" w:cstheme="minorHAnsi"/>
          <w:sz w:val="22"/>
          <w:szCs w:val="22"/>
        </w:rPr>
        <w:t>The term “bunkering” refers to the bulk transfer from shore facility, barge etc. to vessel of fuel and lubricating oils and the transfer from ship to shore or barge of sludge and other residual oils.</w:t>
      </w:r>
    </w:p>
    <w:p w14:paraId="134F2E95" w14:textId="77777777" w:rsidR="000C4729" w:rsidRPr="000F7476" w:rsidRDefault="000C4729" w:rsidP="005674F5">
      <w:pPr>
        <w:pStyle w:val="BodyText"/>
        <w:jc w:val="both"/>
        <w:rPr>
          <w:rFonts w:asciiTheme="minorHAnsi" w:hAnsiTheme="minorHAnsi" w:cstheme="minorHAnsi"/>
          <w:sz w:val="22"/>
          <w:szCs w:val="22"/>
        </w:rPr>
      </w:pPr>
      <w:r w:rsidRPr="000F7476">
        <w:rPr>
          <w:rFonts w:asciiTheme="minorHAnsi" w:hAnsiTheme="minorHAnsi" w:cstheme="minorHAnsi"/>
          <w:sz w:val="22"/>
          <w:szCs w:val="22"/>
        </w:rPr>
        <w:t>The Company defines the following bunker tank filling limits (i.e. excluding Lub oil tanks which must not be filled in excess of 95%):-</w:t>
      </w:r>
    </w:p>
    <w:p w14:paraId="5FBAD222" w14:textId="77777777" w:rsidR="000C4729" w:rsidRPr="000F7476" w:rsidRDefault="000C4729" w:rsidP="005674F5">
      <w:pPr>
        <w:pStyle w:val="BodyText"/>
        <w:jc w:val="both"/>
        <w:rPr>
          <w:rFonts w:asciiTheme="minorHAnsi" w:hAnsiTheme="minorHAnsi" w:cstheme="minorHAnsi"/>
          <w:sz w:val="22"/>
          <w:szCs w:val="22"/>
        </w:rPr>
      </w:pPr>
      <w:r w:rsidRPr="000F7476">
        <w:rPr>
          <w:rFonts w:asciiTheme="minorHAnsi" w:hAnsiTheme="minorHAnsi" w:cstheme="minorHAnsi"/>
          <w:sz w:val="22"/>
          <w:szCs w:val="22"/>
        </w:rPr>
        <w:t xml:space="preserve">Tanks up to 700m³ total capacity </w:t>
      </w:r>
      <w:r w:rsidRPr="000F7476">
        <w:rPr>
          <w:rFonts w:asciiTheme="minorHAnsi" w:hAnsiTheme="minorHAnsi" w:cstheme="minorHAnsi"/>
          <w:sz w:val="22"/>
          <w:szCs w:val="22"/>
        </w:rPr>
        <w:tab/>
      </w:r>
      <w:r w:rsidRPr="000F7476">
        <w:rPr>
          <w:rFonts w:asciiTheme="minorHAnsi" w:hAnsiTheme="minorHAnsi" w:cstheme="minorHAnsi"/>
          <w:sz w:val="22"/>
          <w:szCs w:val="22"/>
        </w:rPr>
        <w:tab/>
      </w:r>
      <w:r w:rsidRPr="000F7476">
        <w:rPr>
          <w:rFonts w:asciiTheme="minorHAnsi" w:hAnsiTheme="minorHAnsi" w:cstheme="minorHAnsi"/>
          <w:sz w:val="22"/>
          <w:szCs w:val="22"/>
        </w:rPr>
        <w:tab/>
      </w:r>
      <w:r w:rsidRPr="000F7476">
        <w:rPr>
          <w:rFonts w:asciiTheme="minorHAnsi" w:hAnsiTheme="minorHAnsi" w:cstheme="minorHAnsi"/>
          <w:sz w:val="22"/>
          <w:szCs w:val="22"/>
        </w:rPr>
        <w:tab/>
      </w:r>
      <w:r w:rsidRPr="000F7476">
        <w:rPr>
          <w:rFonts w:asciiTheme="minorHAnsi" w:hAnsiTheme="minorHAnsi" w:cstheme="minorHAnsi"/>
          <w:b/>
          <w:sz w:val="22"/>
          <w:szCs w:val="22"/>
        </w:rPr>
        <w:t>90%</w:t>
      </w:r>
    </w:p>
    <w:p w14:paraId="1D1C518C" w14:textId="7852BA23" w:rsidR="000C4729" w:rsidRPr="000F7476" w:rsidRDefault="000C4729" w:rsidP="005674F5">
      <w:pPr>
        <w:pStyle w:val="BodyText"/>
        <w:jc w:val="both"/>
        <w:rPr>
          <w:rFonts w:asciiTheme="minorHAnsi" w:hAnsiTheme="minorHAnsi" w:cstheme="minorHAnsi"/>
          <w:sz w:val="22"/>
          <w:szCs w:val="22"/>
        </w:rPr>
      </w:pPr>
      <w:r w:rsidRPr="000F7476">
        <w:rPr>
          <w:rFonts w:asciiTheme="minorHAnsi" w:hAnsiTheme="minorHAnsi" w:cstheme="minorHAnsi"/>
          <w:sz w:val="22"/>
          <w:szCs w:val="22"/>
        </w:rPr>
        <w:t>Tanks over 700m³ total capacity</w:t>
      </w:r>
      <w:r w:rsidRPr="000F7476">
        <w:rPr>
          <w:rFonts w:asciiTheme="minorHAnsi" w:hAnsiTheme="minorHAnsi" w:cstheme="minorHAnsi"/>
          <w:sz w:val="22"/>
          <w:szCs w:val="22"/>
        </w:rPr>
        <w:tab/>
      </w:r>
      <w:r w:rsidRPr="000F7476">
        <w:rPr>
          <w:rFonts w:asciiTheme="minorHAnsi" w:hAnsiTheme="minorHAnsi" w:cstheme="minorHAnsi"/>
          <w:sz w:val="22"/>
          <w:szCs w:val="22"/>
        </w:rPr>
        <w:tab/>
      </w:r>
      <w:r w:rsidRPr="000F7476">
        <w:rPr>
          <w:rFonts w:asciiTheme="minorHAnsi" w:hAnsiTheme="minorHAnsi" w:cstheme="minorHAnsi"/>
          <w:sz w:val="22"/>
          <w:szCs w:val="22"/>
        </w:rPr>
        <w:tab/>
      </w:r>
      <w:r w:rsidRPr="000F7476">
        <w:rPr>
          <w:rFonts w:asciiTheme="minorHAnsi" w:hAnsiTheme="minorHAnsi" w:cstheme="minorHAnsi"/>
          <w:sz w:val="22"/>
          <w:szCs w:val="22"/>
        </w:rPr>
        <w:tab/>
      </w:r>
      <w:r w:rsidR="00362CC0">
        <w:rPr>
          <w:rFonts w:asciiTheme="minorHAnsi" w:hAnsiTheme="minorHAnsi" w:cstheme="minorHAnsi"/>
          <w:sz w:val="22"/>
          <w:szCs w:val="22"/>
        </w:rPr>
        <w:tab/>
      </w:r>
      <w:r w:rsidRPr="000F7476">
        <w:rPr>
          <w:rFonts w:asciiTheme="minorHAnsi" w:hAnsiTheme="minorHAnsi" w:cstheme="minorHAnsi"/>
          <w:b/>
          <w:sz w:val="22"/>
          <w:szCs w:val="22"/>
        </w:rPr>
        <w:t>95%</w:t>
      </w:r>
    </w:p>
    <w:p w14:paraId="6271309D" w14:textId="77777777" w:rsidR="000C4729" w:rsidRPr="000F7476" w:rsidRDefault="000C4729" w:rsidP="005674F5">
      <w:pPr>
        <w:pStyle w:val="BodyText"/>
        <w:jc w:val="both"/>
        <w:rPr>
          <w:rFonts w:asciiTheme="minorHAnsi" w:hAnsiTheme="minorHAnsi" w:cstheme="minorHAnsi"/>
          <w:b/>
          <w:sz w:val="22"/>
          <w:szCs w:val="22"/>
        </w:rPr>
      </w:pPr>
      <w:r w:rsidRPr="000F7476">
        <w:rPr>
          <w:rFonts w:asciiTheme="minorHAnsi" w:hAnsiTheme="minorHAnsi" w:cstheme="minorHAnsi"/>
          <w:sz w:val="22"/>
          <w:szCs w:val="22"/>
        </w:rPr>
        <w:t>Tanks with known air-locking difficulties experience</w:t>
      </w:r>
      <w:r w:rsidRPr="000F7476">
        <w:rPr>
          <w:rFonts w:asciiTheme="minorHAnsi" w:hAnsiTheme="minorHAnsi" w:cstheme="minorHAnsi"/>
          <w:sz w:val="22"/>
          <w:szCs w:val="22"/>
        </w:rPr>
        <w:tab/>
      </w:r>
      <w:r w:rsidRPr="000F7476">
        <w:rPr>
          <w:rFonts w:asciiTheme="minorHAnsi" w:hAnsiTheme="minorHAnsi" w:cstheme="minorHAnsi"/>
          <w:sz w:val="22"/>
          <w:szCs w:val="22"/>
        </w:rPr>
        <w:tab/>
      </w:r>
      <w:r w:rsidRPr="000F7476">
        <w:rPr>
          <w:rFonts w:asciiTheme="minorHAnsi" w:hAnsiTheme="minorHAnsi" w:cstheme="minorHAnsi"/>
          <w:b/>
          <w:sz w:val="22"/>
          <w:szCs w:val="22"/>
        </w:rPr>
        <w:t>90%</w:t>
      </w:r>
    </w:p>
    <w:p w14:paraId="2B62DF30"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rPr>
        <w:t>The practice of simultaneous receipt of different grades of bunkers is prohibited.  Only one grade at a time is to be taken.  This restriction does not apply to lubricating oils.</w:t>
      </w:r>
    </w:p>
    <w:p w14:paraId="0B18FA5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5848EDDD" w14:textId="2029F70A" w:rsidR="000C4729" w:rsidRPr="000F7476" w:rsidRDefault="000C4729" w:rsidP="005674F5">
      <w:pPr>
        <w:jc w:val="both"/>
        <w:rPr>
          <w:rFonts w:asciiTheme="minorHAnsi" w:hAnsiTheme="minorHAnsi" w:cstheme="minorHAnsi"/>
          <w:i/>
          <w:iCs/>
          <w:lang w:val="en-GB"/>
        </w:rPr>
      </w:pPr>
      <w:r w:rsidRPr="000F7476">
        <w:rPr>
          <w:rFonts w:asciiTheme="minorHAnsi" w:hAnsiTheme="minorHAnsi" w:cstheme="minorHAnsi"/>
        </w:rPr>
        <w:t xml:space="preserve">Where available, Bunker Tank adjustable high-level alarms shall be set to the </w:t>
      </w:r>
      <w:r w:rsidR="00600990">
        <w:rPr>
          <w:rFonts w:asciiTheme="minorHAnsi" w:hAnsiTheme="minorHAnsi" w:cstheme="minorHAnsi"/>
        </w:rPr>
        <w:t>S</w:t>
      </w:r>
      <w:r w:rsidRPr="000F7476">
        <w:rPr>
          <w:rFonts w:asciiTheme="minorHAnsi" w:hAnsiTheme="minorHAnsi" w:cstheme="minorHAnsi"/>
        </w:rPr>
        <w:t xml:space="preserve">MS allowed filling limit. Where the high level alarms are fixed, the tanks shall normally be filled to the set high level alarm capacity. </w:t>
      </w:r>
    </w:p>
    <w:p w14:paraId="00DA26B5" w14:textId="77777777" w:rsidR="000C4729" w:rsidRPr="000F7476" w:rsidRDefault="000C4729" w:rsidP="005674F5">
      <w:pPr>
        <w:jc w:val="both"/>
        <w:rPr>
          <w:rFonts w:asciiTheme="minorHAnsi" w:hAnsiTheme="minorHAnsi" w:cstheme="minorHAnsi"/>
          <w:color w:val="FF0000"/>
        </w:rPr>
      </w:pPr>
      <w:r w:rsidRPr="000F7476">
        <w:rPr>
          <w:rFonts w:asciiTheme="minorHAnsi" w:hAnsiTheme="minorHAnsi" w:cstheme="minorHAnsi"/>
          <w:color w:val="FF0000"/>
        </w:rPr>
        <w:t>If filling limits need to be increased up to 95%, it shall be subject to Office FSI authorisation, specific Risk Assessment and additional control measures:</w:t>
      </w:r>
    </w:p>
    <w:p w14:paraId="4C0BA50D" w14:textId="77777777" w:rsidR="000C4729" w:rsidRPr="000F7476" w:rsidRDefault="000C4729" w:rsidP="005674F5">
      <w:pPr>
        <w:jc w:val="both"/>
        <w:rPr>
          <w:rFonts w:asciiTheme="minorHAnsi" w:hAnsiTheme="minorHAnsi" w:cstheme="minorHAnsi"/>
          <w:color w:val="FF0000"/>
        </w:rPr>
      </w:pPr>
      <w:r w:rsidRPr="000F7476">
        <w:rPr>
          <w:rFonts w:asciiTheme="minorHAnsi" w:hAnsiTheme="minorHAnsi" w:cstheme="minorHAnsi"/>
          <w:color w:val="FF0000"/>
        </w:rPr>
        <w:t>-              Reduced bunkering rate when topping up.</w:t>
      </w:r>
    </w:p>
    <w:p w14:paraId="75C7BF82" w14:textId="77777777" w:rsidR="000C4729" w:rsidRPr="000F7476" w:rsidRDefault="000C4729" w:rsidP="005674F5">
      <w:pPr>
        <w:jc w:val="both"/>
        <w:rPr>
          <w:rFonts w:asciiTheme="minorHAnsi" w:hAnsiTheme="minorHAnsi" w:cstheme="minorHAnsi"/>
          <w:color w:val="FF0000"/>
        </w:rPr>
      </w:pPr>
      <w:r w:rsidRPr="000F7476">
        <w:rPr>
          <w:rFonts w:asciiTheme="minorHAnsi" w:hAnsiTheme="minorHAnsi" w:cstheme="minorHAnsi"/>
          <w:color w:val="FF0000"/>
        </w:rPr>
        <w:t>-              Continuous manual soundings.</w:t>
      </w:r>
    </w:p>
    <w:p w14:paraId="0B0AD717" w14:textId="77777777" w:rsidR="000C4729" w:rsidRPr="000F7476" w:rsidRDefault="000C4729" w:rsidP="005674F5">
      <w:pPr>
        <w:jc w:val="both"/>
        <w:rPr>
          <w:rFonts w:asciiTheme="minorHAnsi" w:hAnsiTheme="minorHAnsi" w:cstheme="minorHAnsi"/>
          <w:color w:val="FF0000"/>
        </w:rPr>
      </w:pPr>
      <w:r w:rsidRPr="000F7476">
        <w:rPr>
          <w:rFonts w:asciiTheme="minorHAnsi" w:hAnsiTheme="minorHAnsi" w:cstheme="minorHAnsi"/>
          <w:color w:val="FF0000"/>
        </w:rPr>
        <w:t>-              Good communication lines (both internal and with bunker barge).</w:t>
      </w:r>
    </w:p>
    <w:p w14:paraId="39EA4062" w14:textId="77777777" w:rsidR="000C4729" w:rsidRPr="000F7476" w:rsidRDefault="000C4729" w:rsidP="005674F5">
      <w:pPr>
        <w:jc w:val="both"/>
        <w:rPr>
          <w:rFonts w:asciiTheme="minorHAnsi" w:hAnsiTheme="minorHAnsi" w:cstheme="minorHAnsi"/>
          <w:color w:val="FF0000"/>
        </w:rPr>
      </w:pPr>
      <w:r w:rsidRPr="000F7476">
        <w:rPr>
          <w:rFonts w:asciiTheme="minorHAnsi" w:hAnsiTheme="minorHAnsi" w:cstheme="minorHAnsi"/>
          <w:color w:val="FF0000"/>
        </w:rPr>
        <w:t>-              If this tank is last in sequence, it shall not be filled over 90%.</w:t>
      </w:r>
    </w:p>
    <w:p w14:paraId="6AB4BDD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91"/>
        <w:gridCol w:w="3685"/>
      </w:tblGrid>
      <w:tr w:rsidR="000C4729" w:rsidRPr="000F7476" w14:paraId="7E03E360" w14:textId="77777777" w:rsidTr="000F7476">
        <w:trPr>
          <w:trHeight w:val="1361"/>
        </w:trPr>
        <w:tc>
          <w:tcPr>
            <w:tcW w:w="9776" w:type="dxa"/>
            <w:gridSpan w:val="2"/>
          </w:tcPr>
          <w:p w14:paraId="32E339C5"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lastRenderedPageBreak/>
              <w:t xml:space="preserve">Obtain </w:t>
            </w:r>
            <w:bookmarkStart w:id="0" w:name="_Hlk35432351"/>
            <w:r w:rsidRPr="000F7476">
              <w:rPr>
                <w:rFonts w:asciiTheme="minorHAnsi" w:hAnsiTheme="minorHAnsi" w:cstheme="minorHAnsi"/>
                <w:b/>
              </w:rPr>
              <w:t xml:space="preserve">pre-delivery typical fuel parameters </w:t>
            </w:r>
            <w:bookmarkEnd w:id="0"/>
            <w:r w:rsidRPr="000F7476">
              <w:rPr>
                <w:rFonts w:asciiTheme="minorHAnsi" w:hAnsiTheme="minorHAnsi" w:cstheme="minorHAnsi"/>
                <w:b/>
              </w:rPr>
              <w:t xml:space="preserve">in order to provide some warning of any specific differences between current bunkers on board and that to be supplied. </w:t>
            </w:r>
          </w:p>
          <w:p w14:paraId="522C068B"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rPr>
              <w:t>This can be in the form of a Certificate of Quality giving details such as the fuel being residual or distillate fuel, viscosity, density, sulphur content and cold flow properties</w:t>
            </w:r>
            <w:r w:rsidRPr="000F7476">
              <w:rPr>
                <w:rFonts w:asciiTheme="minorHAnsi" w:hAnsiTheme="minorHAnsi" w:cstheme="minorHAnsi"/>
                <w:color w:val="4F81BD"/>
              </w:rPr>
              <w:t>. The full ISO 8217 suite of tests with a stability TSP result is preferable.</w:t>
            </w:r>
          </w:p>
        </w:tc>
      </w:tr>
      <w:tr w:rsidR="000C4729" w:rsidRPr="000F7476" w14:paraId="294B2C6B" w14:textId="77777777" w:rsidTr="000F7476">
        <w:trPr>
          <w:trHeight w:val="1361"/>
        </w:trPr>
        <w:tc>
          <w:tcPr>
            <w:tcW w:w="6091" w:type="dxa"/>
          </w:tcPr>
          <w:p w14:paraId="7636D4C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b/>
              </w:rPr>
              <w:t>Details of bunkers to be loaded as per the Bunker Stem received / oil residues or sludge to be transferred ashore.</w:t>
            </w:r>
          </w:p>
        </w:tc>
        <w:tc>
          <w:tcPr>
            <w:tcW w:w="3685" w:type="dxa"/>
          </w:tcPr>
          <w:p w14:paraId="308CEC1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r w:rsidR="000C4729" w:rsidRPr="000F7476" w14:paraId="790513B7" w14:textId="77777777" w:rsidTr="000F7476">
        <w:trPr>
          <w:trHeight w:val="1361"/>
        </w:trPr>
        <w:tc>
          <w:tcPr>
            <w:tcW w:w="9776" w:type="dxa"/>
            <w:gridSpan w:val="2"/>
          </w:tcPr>
          <w:p w14:paraId="6DBCA422" w14:textId="77777777" w:rsidR="005674F5" w:rsidRDefault="000C4729" w:rsidP="005674F5">
            <w:pPr>
              <w:autoSpaceDE w:val="0"/>
              <w:autoSpaceDN w:val="0"/>
              <w:adjustRightInd w:val="0"/>
              <w:spacing w:after="0" w:line="240" w:lineRule="auto"/>
              <w:jc w:val="both"/>
              <w:rPr>
                <w:rFonts w:asciiTheme="minorHAnsi" w:hAnsiTheme="minorHAnsi" w:cstheme="minorHAnsi"/>
                <w:b/>
              </w:rPr>
            </w:pPr>
            <w:bookmarkStart w:id="1" w:name="_Hlk35424121"/>
            <w:r w:rsidRPr="000F7476">
              <w:rPr>
                <w:rFonts w:asciiTheme="minorHAnsi" w:hAnsiTheme="minorHAnsi" w:cstheme="minorHAnsi"/>
                <w:b/>
              </w:rPr>
              <w:t xml:space="preserve">Caution : The density of VLSFO can vary significantly according to method of production. </w:t>
            </w:r>
          </w:p>
          <w:p w14:paraId="43F3BF77" w14:textId="0733EAA0"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b/>
              </w:rPr>
              <w:t xml:space="preserve">The density of the product to be bunkered shall be determined prior to commencing bunkering and where required the bunkering plan / checklist revised regarding tank filling data. </w:t>
            </w:r>
            <w:bookmarkEnd w:id="1"/>
          </w:p>
        </w:tc>
      </w:tr>
    </w:tbl>
    <w:p w14:paraId="52D24B5D"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68A2209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Bunker / Oily Mixture or Sludge Distribution</w:t>
      </w:r>
    </w:p>
    <w:p w14:paraId="2EC98A6A"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09"/>
        <w:gridCol w:w="567"/>
        <w:gridCol w:w="850"/>
        <w:gridCol w:w="709"/>
        <w:gridCol w:w="1134"/>
        <w:gridCol w:w="992"/>
        <w:gridCol w:w="567"/>
        <w:gridCol w:w="1276"/>
        <w:gridCol w:w="709"/>
        <w:gridCol w:w="709"/>
        <w:gridCol w:w="567"/>
        <w:gridCol w:w="1134"/>
      </w:tblGrid>
      <w:tr w:rsidR="000C4729" w:rsidRPr="000F7476" w14:paraId="4A93C356" w14:textId="77777777" w:rsidTr="000F7476">
        <w:trPr>
          <w:trHeight w:val="454"/>
        </w:trPr>
        <w:tc>
          <w:tcPr>
            <w:tcW w:w="1985" w:type="dxa"/>
            <w:gridSpan w:val="3"/>
          </w:tcPr>
          <w:p w14:paraId="04CFCF84" w14:textId="77777777" w:rsidR="000C4729" w:rsidRPr="000F7476" w:rsidRDefault="000C4729" w:rsidP="005674F5">
            <w:pPr>
              <w:pStyle w:val="Header"/>
              <w:jc w:val="both"/>
              <w:rPr>
                <w:rFonts w:asciiTheme="minorHAnsi" w:hAnsiTheme="minorHAnsi" w:cstheme="minorHAnsi"/>
                <w:b/>
                <w:bCs/>
                <w:szCs w:val="22"/>
              </w:rPr>
            </w:pPr>
            <w:bookmarkStart w:id="2" w:name="_Hlk35423375"/>
            <w:r w:rsidRPr="000F7476">
              <w:rPr>
                <w:rFonts w:asciiTheme="minorHAnsi" w:hAnsiTheme="minorHAnsi" w:cstheme="minorHAnsi"/>
                <w:b/>
                <w:bCs/>
                <w:szCs w:val="22"/>
              </w:rPr>
              <w:t>Tank Characteristic</w:t>
            </w:r>
          </w:p>
        </w:tc>
        <w:tc>
          <w:tcPr>
            <w:tcW w:w="850" w:type="dxa"/>
            <w:vMerge w:val="restart"/>
          </w:tcPr>
          <w:p w14:paraId="3358A79D"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Grade / Oily Mix or Sludge</w:t>
            </w:r>
          </w:p>
        </w:tc>
        <w:tc>
          <w:tcPr>
            <w:tcW w:w="3402" w:type="dxa"/>
            <w:gridSpan w:val="4"/>
          </w:tcPr>
          <w:p w14:paraId="6B22EF66"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Volume to bunker (m3)</w:t>
            </w:r>
          </w:p>
        </w:tc>
        <w:tc>
          <w:tcPr>
            <w:tcW w:w="1276" w:type="dxa"/>
            <w:vMerge w:val="restart"/>
          </w:tcPr>
          <w:p w14:paraId="36471331"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Product density/ temp.  used during planning</w:t>
            </w:r>
          </w:p>
        </w:tc>
        <w:tc>
          <w:tcPr>
            <w:tcW w:w="1985" w:type="dxa"/>
            <w:gridSpan w:val="3"/>
          </w:tcPr>
          <w:p w14:paraId="5FB81172"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Transfer Rates (m3)</w:t>
            </w:r>
          </w:p>
        </w:tc>
        <w:tc>
          <w:tcPr>
            <w:tcW w:w="1134" w:type="dxa"/>
            <w:vMerge w:val="restart"/>
          </w:tcPr>
          <w:p w14:paraId="338229AB"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Max Line Pressure</w:t>
            </w:r>
          </w:p>
          <w:p w14:paraId="23854423"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(Kg/Psi)</w:t>
            </w:r>
          </w:p>
        </w:tc>
      </w:tr>
      <w:tr w:rsidR="000C4729" w:rsidRPr="000F7476" w14:paraId="41E7DE9B" w14:textId="77777777" w:rsidTr="000F7476">
        <w:trPr>
          <w:trHeight w:val="454"/>
        </w:trPr>
        <w:tc>
          <w:tcPr>
            <w:tcW w:w="709" w:type="dxa"/>
            <w:vMerge w:val="restart"/>
          </w:tcPr>
          <w:p w14:paraId="21B9A52B"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ID / No</w:t>
            </w:r>
          </w:p>
        </w:tc>
        <w:tc>
          <w:tcPr>
            <w:tcW w:w="1276" w:type="dxa"/>
            <w:gridSpan w:val="2"/>
          </w:tcPr>
          <w:p w14:paraId="6A021DD0"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 xml:space="preserve">Vol at </w:t>
            </w:r>
          </w:p>
          <w:p w14:paraId="6E3EA16E"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 xml:space="preserve">max. filling </w:t>
            </w:r>
          </w:p>
        </w:tc>
        <w:tc>
          <w:tcPr>
            <w:tcW w:w="850" w:type="dxa"/>
            <w:vMerge/>
          </w:tcPr>
          <w:p w14:paraId="73C3F63D" w14:textId="77777777" w:rsidR="000C4729" w:rsidRPr="000F7476" w:rsidRDefault="000C4729" w:rsidP="005674F5">
            <w:pPr>
              <w:pStyle w:val="Header"/>
              <w:jc w:val="both"/>
              <w:rPr>
                <w:rFonts w:asciiTheme="minorHAnsi" w:hAnsiTheme="minorHAnsi" w:cstheme="minorHAnsi"/>
                <w:b/>
                <w:bCs/>
                <w:szCs w:val="22"/>
              </w:rPr>
            </w:pPr>
          </w:p>
        </w:tc>
        <w:tc>
          <w:tcPr>
            <w:tcW w:w="709" w:type="dxa"/>
            <w:vMerge w:val="restart"/>
          </w:tcPr>
          <w:p w14:paraId="3FCA76F9"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OBQ **</w:t>
            </w:r>
          </w:p>
        </w:tc>
        <w:tc>
          <w:tcPr>
            <w:tcW w:w="1134" w:type="dxa"/>
            <w:vMerge w:val="restart"/>
          </w:tcPr>
          <w:p w14:paraId="55430F30"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Available Volume</w:t>
            </w:r>
          </w:p>
        </w:tc>
        <w:tc>
          <w:tcPr>
            <w:tcW w:w="1559" w:type="dxa"/>
            <w:gridSpan w:val="2"/>
          </w:tcPr>
          <w:p w14:paraId="08AA9163" w14:textId="77777777" w:rsidR="000C4729" w:rsidRPr="000F7476" w:rsidRDefault="000C4729" w:rsidP="005674F5">
            <w:pPr>
              <w:pStyle w:val="Header"/>
              <w:jc w:val="both"/>
              <w:rPr>
                <w:rFonts w:asciiTheme="minorHAnsi" w:hAnsiTheme="minorHAnsi" w:cstheme="minorHAnsi"/>
                <w:b/>
                <w:bCs/>
                <w:szCs w:val="22"/>
              </w:rPr>
            </w:pPr>
            <w:r w:rsidRPr="000F7476">
              <w:rPr>
                <w:rFonts w:asciiTheme="minorHAnsi" w:hAnsiTheme="minorHAnsi" w:cstheme="minorHAnsi"/>
                <w:b/>
                <w:bCs/>
                <w:szCs w:val="22"/>
              </w:rPr>
              <w:t xml:space="preserve">Planned Filling </w:t>
            </w:r>
          </w:p>
        </w:tc>
        <w:tc>
          <w:tcPr>
            <w:tcW w:w="1276" w:type="dxa"/>
            <w:vMerge/>
          </w:tcPr>
          <w:p w14:paraId="12983A7D" w14:textId="77777777" w:rsidR="000C4729" w:rsidRPr="000F7476" w:rsidRDefault="000C4729" w:rsidP="005674F5">
            <w:pPr>
              <w:pStyle w:val="Header"/>
              <w:jc w:val="both"/>
              <w:rPr>
                <w:rFonts w:asciiTheme="minorHAnsi" w:hAnsiTheme="minorHAnsi" w:cstheme="minorHAnsi"/>
                <w:b/>
                <w:bCs/>
                <w:szCs w:val="22"/>
              </w:rPr>
            </w:pPr>
          </w:p>
        </w:tc>
        <w:tc>
          <w:tcPr>
            <w:tcW w:w="709" w:type="dxa"/>
            <w:vMerge w:val="restart"/>
            <w:textDirection w:val="btLr"/>
          </w:tcPr>
          <w:p w14:paraId="750897BC" w14:textId="77777777" w:rsidR="000C4729" w:rsidRPr="000F7476" w:rsidRDefault="000C4729" w:rsidP="005674F5">
            <w:pPr>
              <w:pStyle w:val="Header"/>
              <w:ind w:left="113" w:right="113"/>
              <w:jc w:val="both"/>
              <w:rPr>
                <w:rFonts w:asciiTheme="minorHAnsi" w:hAnsiTheme="minorHAnsi" w:cstheme="minorHAnsi"/>
                <w:szCs w:val="22"/>
              </w:rPr>
            </w:pPr>
            <w:r w:rsidRPr="000F7476">
              <w:rPr>
                <w:rFonts w:asciiTheme="minorHAnsi" w:hAnsiTheme="minorHAnsi" w:cstheme="minorHAnsi"/>
                <w:szCs w:val="22"/>
              </w:rPr>
              <w:t xml:space="preserve">Initial </w:t>
            </w:r>
          </w:p>
        </w:tc>
        <w:tc>
          <w:tcPr>
            <w:tcW w:w="709" w:type="dxa"/>
            <w:vMerge w:val="restart"/>
            <w:textDirection w:val="btLr"/>
          </w:tcPr>
          <w:p w14:paraId="65B20EB1" w14:textId="77777777" w:rsidR="000C4729" w:rsidRPr="000F7476" w:rsidRDefault="000C4729" w:rsidP="005674F5">
            <w:pPr>
              <w:pStyle w:val="Header"/>
              <w:ind w:left="113" w:right="113"/>
              <w:jc w:val="both"/>
              <w:rPr>
                <w:rFonts w:asciiTheme="minorHAnsi" w:hAnsiTheme="minorHAnsi" w:cstheme="minorHAnsi"/>
                <w:szCs w:val="22"/>
              </w:rPr>
            </w:pPr>
            <w:r w:rsidRPr="000F7476">
              <w:rPr>
                <w:rFonts w:asciiTheme="minorHAnsi" w:hAnsiTheme="minorHAnsi" w:cstheme="minorHAnsi"/>
                <w:szCs w:val="22"/>
              </w:rPr>
              <w:t xml:space="preserve">Max. </w:t>
            </w:r>
          </w:p>
        </w:tc>
        <w:tc>
          <w:tcPr>
            <w:tcW w:w="567" w:type="dxa"/>
            <w:vMerge w:val="restart"/>
            <w:textDirection w:val="btLr"/>
          </w:tcPr>
          <w:p w14:paraId="7AEA7ED4" w14:textId="77777777" w:rsidR="000C4729" w:rsidRPr="000F7476" w:rsidRDefault="000C4729" w:rsidP="005674F5">
            <w:pPr>
              <w:pStyle w:val="Header"/>
              <w:ind w:left="113" w:right="113"/>
              <w:jc w:val="both"/>
              <w:rPr>
                <w:rFonts w:asciiTheme="minorHAnsi" w:hAnsiTheme="minorHAnsi" w:cstheme="minorHAnsi"/>
                <w:szCs w:val="22"/>
              </w:rPr>
            </w:pPr>
            <w:r w:rsidRPr="000F7476">
              <w:rPr>
                <w:rFonts w:asciiTheme="minorHAnsi" w:hAnsiTheme="minorHAnsi" w:cstheme="minorHAnsi"/>
                <w:szCs w:val="22"/>
              </w:rPr>
              <w:t xml:space="preserve">Topping Off </w:t>
            </w:r>
          </w:p>
        </w:tc>
        <w:tc>
          <w:tcPr>
            <w:tcW w:w="1134" w:type="dxa"/>
            <w:vMerge/>
          </w:tcPr>
          <w:p w14:paraId="111085C0" w14:textId="77777777" w:rsidR="000C4729" w:rsidRPr="000F7476" w:rsidRDefault="000C4729" w:rsidP="005674F5">
            <w:pPr>
              <w:pStyle w:val="Header"/>
              <w:jc w:val="both"/>
              <w:rPr>
                <w:rFonts w:asciiTheme="minorHAnsi" w:hAnsiTheme="minorHAnsi" w:cstheme="minorHAnsi"/>
                <w:b/>
                <w:bCs/>
                <w:szCs w:val="22"/>
              </w:rPr>
            </w:pPr>
          </w:p>
        </w:tc>
      </w:tr>
      <w:tr w:rsidR="000C4729" w:rsidRPr="000F7476" w14:paraId="1450870E" w14:textId="77777777" w:rsidTr="000F7476">
        <w:trPr>
          <w:trHeight w:val="454"/>
        </w:trPr>
        <w:tc>
          <w:tcPr>
            <w:tcW w:w="709" w:type="dxa"/>
            <w:vMerge/>
          </w:tcPr>
          <w:p w14:paraId="7753C190" w14:textId="77777777" w:rsidR="000C4729" w:rsidRPr="000F7476" w:rsidRDefault="000C4729" w:rsidP="005674F5">
            <w:pPr>
              <w:pStyle w:val="Header"/>
              <w:jc w:val="both"/>
              <w:rPr>
                <w:rFonts w:asciiTheme="minorHAnsi" w:hAnsiTheme="minorHAnsi" w:cstheme="minorHAnsi"/>
                <w:szCs w:val="22"/>
              </w:rPr>
            </w:pPr>
          </w:p>
        </w:tc>
        <w:tc>
          <w:tcPr>
            <w:tcW w:w="709" w:type="dxa"/>
          </w:tcPr>
          <w:p w14:paraId="6335A8AC" w14:textId="77777777" w:rsidR="000C4729" w:rsidRPr="000F7476" w:rsidRDefault="000C4729" w:rsidP="005674F5">
            <w:pPr>
              <w:pStyle w:val="Header"/>
              <w:jc w:val="both"/>
              <w:rPr>
                <w:rFonts w:asciiTheme="minorHAnsi" w:hAnsiTheme="minorHAnsi" w:cstheme="minorHAnsi"/>
                <w:szCs w:val="22"/>
              </w:rPr>
            </w:pPr>
            <w:r w:rsidRPr="000F7476">
              <w:rPr>
                <w:rFonts w:asciiTheme="minorHAnsi" w:hAnsiTheme="minorHAnsi" w:cstheme="minorHAnsi"/>
                <w:szCs w:val="22"/>
              </w:rPr>
              <w:t>m3</w:t>
            </w:r>
          </w:p>
        </w:tc>
        <w:tc>
          <w:tcPr>
            <w:tcW w:w="567" w:type="dxa"/>
          </w:tcPr>
          <w:p w14:paraId="1C94B5F6" w14:textId="77777777" w:rsidR="000C4729" w:rsidRPr="000F7476" w:rsidRDefault="000C4729" w:rsidP="005674F5">
            <w:pPr>
              <w:pStyle w:val="Header"/>
              <w:jc w:val="both"/>
              <w:rPr>
                <w:rFonts w:asciiTheme="minorHAnsi" w:hAnsiTheme="minorHAnsi" w:cstheme="minorHAnsi"/>
                <w:szCs w:val="22"/>
              </w:rPr>
            </w:pPr>
            <w:r w:rsidRPr="000F7476">
              <w:rPr>
                <w:rFonts w:asciiTheme="minorHAnsi" w:hAnsiTheme="minorHAnsi" w:cstheme="minorHAnsi"/>
                <w:szCs w:val="22"/>
              </w:rPr>
              <w:t>%*</w:t>
            </w:r>
          </w:p>
        </w:tc>
        <w:tc>
          <w:tcPr>
            <w:tcW w:w="850" w:type="dxa"/>
            <w:vMerge/>
          </w:tcPr>
          <w:p w14:paraId="1015724A" w14:textId="77777777" w:rsidR="000C4729" w:rsidRPr="000F7476" w:rsidRDefault="000C4729" w:rsidP="005674F5">
            <w:pPr>
              <w:pStyle w:val="Header"/>
              <w:jc w:val="both"/>
              <w:rPr>
                <w:rFonts w:asciiTheme="minorHAnsi" w:hAnsiTheme="minorHAnsi" w:cstheme="minorHAnsi"/>
                <w:szCs w:val="22"/>
              </w:rPr>
            </w:pPr>
          </w:p>
        </w:tc>
        <w:tc>
          <w:tcPr>
            <w:tcW w:w="709" w:type="dxa"/>
            <w:vMerge/>
          </w:tcPr>
          <w:p w14:paraId="21CE4525" w14:textId="77777777" w:rsidR="000C4729" w:rsidRPr="000F7476" w:rsidRDefault="000C4729" w:rsidP="005674F5">
            <w:pPr>
              <w:pStyle w:val="Header"/>
              <w:jc w:val="both"/>
              <w:rPr>
                <w:rFonts w:asciiTheme="minorHAnsi" w:hAnsiTheme="minorHAnsi" w:cstheme="minorHAnsi"/>
                <w:szCs w:val="22"/>
              </w:rPr>
            </w:pPr>
          </w:p>
        </w:tc>
        <w:tc>
          <w:tcPr>
            <w:tcW w:w="1134" w:type="dxa"/>
            <w:vMerge/>
          </w:tcPr>
          <w:p w14:paraId="013F6221" w14:textId="77777777" w:rsidR="000C4729" w:rsidRPr="000F7476" w:rsidRDefault="000C4729" w:rsidP="005674F5">
            <w:pPr>
              <w:pStyle w:val="Header"/>
              <w:jc w:val="both"/>
              <w:rPr>
                <w:rFonts w:asciiTheme="minorHAnsi" w:hAnsiTheme="minorHAnsi" w:cstheme="minorHAnsi"/>
                <w:szCs w:val="22"/>
              </w:rPr>
            </w:pPr>
          </w:p>
        </w:tc>
        <w:tc>
          <w:tcPr>
            <w:tcW w:w="992" w:type="dxa"/>
          </w:tcPr>
          <w:p w14:paraId="77A43C9D" w14:textId="77777777" w:rsidR="000C4729" w:rsidRPr="000F7476" w:rsidRDefault="000C4729" w:rsidP="005674F5">
            <w:pPr>
              <w:pStyle w:val="Header"/>
              <w:jc w:val="both"/>
              <w:rPr>
                <w:rFonts w:asciiTheme="minorHAnsi" w:hAnsiTheme="minorHAnsi" w:cstheme="minorHAnsi"/>
                <w:szCs w:val="22"/>
              </w:rPr>
            </w:pPr>
            <w:r w:rsidRPr="000F7476">
              <w:rPr>
                <w:rFonts w:asciiTheme="minorHAnsi" w:hAnsiTheme="minorHAnsi" w:cstheme="minorHAnsi"/>
                <w:szCs w:val="22"/>
              </w:rPr>
              <w:t>m3</w:t>
            </w:r>
          </w:p>
        </w:tc>
        <w:tc>
          <w:tcPr>
            <w:tcW w:w="567" w:type="dxa"/>
          </w:tcPr>
          <w:p w14:paraId="72B64ED1" w14:textId="77777777" w:rsidR="000C4729" w:rsidRPr="000F7476" w:rsidRDefault="000C4729" w:rsidP="005674F5">
            <w:pPr>
              <w:pStyle w:val="Header"/>
              <w:jc w:val="both"/>
              <w:rPr>
                <w:rFonts w:asciiTheme="minorHAnsi" w:hAnsiTheme="minorHAnsi" w:cstheme="minorHAnsi"/>
                <w:szCs w:val="22"/>
              </w:rPr>
            </w:pPr>
            <w:r w:rsidRPr="000F7476">
              <w:rPr>
                <w:rFonts w:asciiTheme="minorHAnsi" w:hAnsiTheme="minorHAnsi" w:cstheme="minorHAnsi"/>
                <w:szCs w:val="22"/>
              </w:rPr>
              <w:t>%*</w:t>
            </w:r>
          </w:p>
        </w:tc>
        <w:tc>
          <w:tcPr>
            <w:tcW w:w="1276" w:type="dxa"/>
            <w:vMerge/>
          </w:tcPr>
          <w:p w14:paraId="56FA9000" w14:textId="77777777" w:rsidR="000C4729" w:rsidRPr="000F7476" w:rsidRDefault="000C4729" w:rsidP="005674F5">
            <w:pPr>
              <w:pStyle w:val="Header"/>
              <w:jc w:val="both"/>
              <w:rPr>
                <w:rFonts w:asciiTheme="minorHAnsi" w:hAnsiTheme="minorHAnsi" w:cstheme="minorHAnsi"/>
                <w:szCs w:val="22"/>
              </w:rPr>
            </w:pPr>
          </w:p>
        </w:tc>
        <w:tc>
          <w:tcPr>
            <w:tcW w:w="709" w:type="dxa"/>
            <w:vMerge/>
          </w:tcPr>
          <w:p w14:paraId="65733560" w14:textId="77777777" w:rsidR="000C4729" w:rsidRPr="000F7476" w:rsidRDefault="000C4729" w:rsidP="005674F5">
            <w:pPr>
              <w:pStyle w:val="Header"/>
              <w:jc w:val="both"/>
              <w:rPr>
                <w:rFonts w:asciiTheme="minorHAnsi" w:hAnsiTheme="minorHAnsi" w:cstheme="minorHAnsi"/>
                <w:szCs w:val="22"/>
              </w:rPr>
            </w:pPr>
          </w:p>
        </w:tc>
        <w:tc>
          <w:tcPr>
            <w:tcW w:w="709" w:type="dxa"/>
            <w:vMerge/>
          </w:tcPr>
          <w:p w14:paraId="0FD39ADD" w14:textId="77777777" w:rsidR="000C4729" w:rsidRPr="000F7476" w:rsidRDefault="000C4729" w:rsidP="005674F5">
            <w:pPr>
              <w:pStyle w:val="Header"/>
              <w:jc w:val="both"/>
              <w:rPr>
                <w:rFonts w:asciiTheme="minorHAnsi" w:hAnsiTheme="minorHAnsi" w:cstheme="minorHAnsi"/>
                <w:szCs w:val="22"/>
              </w:rPr>
            </w:pPr>
          </w:p>
        </w:tc>
        <w:tc>
          <w:tcPr>
            <w:tcW w:w="567" w:type="dxa"/>
            <w:vMerge/>
          </w:tcPr>
          <w:p w14:paraId="43E8D4D8" w14:textId="77777777" w:rsidR="000C4729" w:rsidRPr="000F7476" w:rsidRDefault="000C4729" w:rsidP="005674F5">
            <w:pPr>
              <w:pStyle w:val="Header"/>
              <w:jc w:val="both"/>
              <w:rPr>
                <w:rFonts w:asciiTheme="minorHAnsi" w:hAnsiTheme="minorHAnsi" w:cstheme="minorHAnsi"/>
                <w:szCs w:val="22"/>
              </w:rPr>
            </w:pPr>
          </w:p>
        </w:tc>
        <w:tc>
          <w:tcPr>
            <w:tcW w:w="1134" w:type="dxa"/>
            <w:vMerge/>
          </w:tcPr>
          <w:p w14:paraId="563A4406" w14:textId="77777777" w:rsidR="000C4729" w:rsidRPr="000F7476" w:rsidRDefault="000C4729" w:rsidP="005674F5">
            <w:pPr>
              <w:pStyle w:val="Header"/>
              <w:jc w:val="both"/>
              <w:rPr>
                <w:rFonts w:asciiTheme="minorHAnsi" w:hAnsiTheme="minorHAnsi" w:cstheme="minorHAnsi"/>
                <w:szCs w:val="22"/>
              </w:rPr>
            </w:pPr>
          </w:p>
        </w:tc>
      </w:tr>
      <w:tr w:rsidR="000C4729" w:rsidRPr="000F7476" w14:paraId="2C1D5C39" w14:textId="77777777" w:rsidTr="000F7476">
        <w:trPr>
          <w:trHeight w:val="454"/>
        </w:trPr>
        <w:tc>
          <w:tcPr>
            <w:tcW w:w="709" w:type="dxa"/>
          </w:tcPr>
          <w:p w14:paraId="7059D4A3" w14:textId="77777777" w:rsidR="000C4729" w:rsidRPr="000F7476" w:rsidRDefault="000C4729" w:rsidP="005674F5">
            <w:pPr>
              <w:pStyle w:val="Header"/>
              <w:jc w:val="both"/>
              <w:rPr>
                <w:rFonts w:asciiTheme="minorHAnsi" w:hAnsiTheme="minorHAnsi" w:cstheme="minorHAnsi"/>
                <w:szCs w:val="22"/>
              </w:rPr>
            </w:pPr>
          </w:p>
        </w:tc>
        <w:tc>
          <w:tcPr>
            <w:tcW w:w="709" w:type="dxa"/>
          </w:tcPr>
          <w:p w14:paraId="413F6607" w14:textId="77777777" w:rsidR="000C4729" w:rsidRPr="000F7476" w:rsidRDefault="000C4729" w:rsidP="005674F5">
            <w:pPr>
              <w:pStyle w:val="Header"/>
              <w:jc w:val="both"/>
              <w:rPr>
                <w:rFonts w:asciiTheme="minorHAnsi" w:hAnsiTheme="minorHAnsi" w:cstheme="minorHAnsi"/>
                <w:szCs w:val="22"/>
              </w:rPr>
            </w:pPr>
          </w:p>
        </w:tc>
        <w:tc>
          <w:tcPr>
            <w:tcW w:w="567" w:type="dxa"/>
          </w:tcPr>
          <w:p w14:paraId="3839FB47" w14:textId="77777777" w:rsidR="000C4729" w:rsidRPr="000F7476" w:rsidRDefault="000C4729" w:rsidP="005674F5">
            <w:pPr>
              <w:pStyle w:val="Header"/>
              <w:jc w:val="both"/>
              <w:rPr>
                <w:rFonts w:asciiTheme="minorHAnsi" w:hAnsiTheme="minorHAnsi" w:cstheme="minorHAnsi"/>
                <w:szCs w:val="22"/>
              </w:rPr>
            </w:pPr>
          </w:p>
        </w:tc>
        <w:tc>
          <w:tcPr>
            <w:tcW w:w="850" w:type="dxa"/>
          </w:tcPr>
          <w:p w14:paraId="23699961" w14:textId="77777777" w:rsidR="000C4729" w:rsidRPr="000F7476" w:rsidRDefault="000C4729" w:rsidP="005674F5">
            <w:pPr>
              <w:pStyle w:val="Header"/>
              <w:jc w:val="both"/>
              <w:rPr>
                <w:rFonts w:asciiTheme="minorHAnsi" w:hAnsiTheme="minorHAnsi" w:cstheme="minorHAnsi"/>
                <w:szCs w:val="22"/>
              </w:rPr>
            </w:pPr>
          </w:p>
        </w:tc>
        <w:tc>
          <w:tcPr>
            <w:tcW w:w="709" w:type="dxa"/>
          </w:tcPr>
          <w:p w14:paraId="252DD5C3"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6A6E642B" w14:textId="77777777" w:rsidR="000C4729" w:rsidRPr="000F7476" w:rsidRDefault="000C4729" w:rsidP="005674F5">
            <w:pPr>
              <w:pStyle w:val="Header"/>
              <w:jc w:val="both"/>
              <w:rPr>
                <w:rFonts w:asciiTheme="minorHAnsi" w:hAnsiTheme="minorHAnsi" w:cstheme="minorHAnsi"/>
                <w:szCs w:val="22"/>
              </w:rPr>
            </w:pPr>
          </w:p>
        </w:tc>
        <w:tc>
          <w:tcPr>
            <w:tcW w:w="992" w:type="dxa"/>
          </w:tcPr>
          <w:p w14:paraId="2805A6A8" w14:textId="77777777" w:rsidR="000C4729" w:rsidRPr="000F7476" w:rsidRDefault="000C4729" w:rsidP="005674F5">
            <w:pPr>
              <w:pStyle w:val="Header"/>
              <w:jc w:val="both"/>
              <w:rPr>
                <w:rFonts w:asciiTheme="minorHAnsi" w:hAnsiTheme="minorHAnsi" w:cstheme="minorHAnsi"/>
                <w:szCs w:val="22"/>
              </w:rPr>
            </w:pPr>
          </w:p>
        </w:tc>
        <w:tc>
          <w:tcPr>
            <w:tcW w:w="567" w:type="dxa"/>
          </w:tcPr>
          <w:p w14:paraId="7BD7371F" w14:textId="77777777" w:rsidR="000C4729" w:rsidRPr="000F7476" w:rsidRDefault="000C4729" w:rsidP="005674F5">
            <w:pPr>
              <w:pStyle w:val="Header"/>
              <w:jc w:val="both"/>
              <w:rPr>
                <w:rFonts w:asciiTheme="minorHAnsi" w:hAnsiTheme="minorHAnsi" w:cstheme="minorHAnsi"/>
                <w:szCs w:val="22"/>
              </w:rPr>
            </w:pPr>
          </w:p>
        </w:tc>
        <w:tc>
          <w:tcPr>
            <w:tcW w:w="1276" w:type="dxa"/>
          </w:tcPr>
          <w:p w14:paraId="0A6A9408" w14:textId="77777777" w:rsidR="000C4729" w:rsidRPr="000F7476" w:rsidRDefault="000C4729" w:rsidP="005674F5">
            <w:pPr>
              <w:pStyle w:val="Header"/>
              <w:jc w:val="both"/>
              <w:rPr>
                <w:rFonts w:asciiTheme="minorHAnsi" w:hAnsiTheme="minorHAnsi" w:cstheme="minorHAnsi"/>
                <w:szCs w:val="22"/>
              </w:rPr>
            </w:pPr>
          </w:p>
        </w:tc>
        <w:tc>
          <w:tcPr>
            <w:tcW w:w="709" w:type="dxa"/>
          </w:tcPr>
          <w:p w14:paraId="35BD9C72" w14:textId="77777777" w:rsidR="000C4729" w:rsidRPr="000F7476" w:rsidRDefault="000C4729" w:rsidP="005674F5">
            <w:pPr>
              <w:pStyle w:val="Header"/>
              <w:jc w:val="both"/>
              <w:rPr>
                <w:rFonts w:asciiTheme="minorHAnsi" w:hAnsiTheme="minorHAnsi" w:cstheme="minorHAnsi"/>
                <w:szCs w:val="22"/>
              </w:rPr>
            </w:pPr>
          </w:p>
        </w:tc>
        <w:tc>
          <w:tcPr>
            <w:tcW w:w="709" w:type="dxa"/>
          </w:tcPr>
          <w:p w14:paraId="46279B54" w14:textId="77777777" w:rsidR="000C4729" w:rsidRPr="000F7476" w:rsidRDefault="000C4729" w:rsidP="005674F5">
            <w:pPr>
              <w:pStyle w:val="Header"/>
              <w:jc w:val="both"/>
              <w:rPr>
                <w:rFonts w:asciiTheme="minorHAnsi" w:hAnsiTheme="minorHAnsi" w:cstheme="minorHAnsi"/>
                <w:szCs w:val="22"/>
              </w:rPr>
            </w:pPr>
          </w:p>
        </w:tc>
        <w:tc>
          <w:tcPr>
            <w:tcW w:w="567" w:type="dxa"/>
          </w:tcPr>
          <w:p w14:paraId="787EBE27"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3151D9CD" w14:textId="77777777" w:rsidR="000C4729" w:rsidRPr="000F7476" w:rsidRDefault="000C4729" w:rsidP="005674F5">
            <w:pPr>
              <w:pStyle w:val="Header"/>
              <w:jc w:val="both"/>
              <w:rPr>
                <w:rFonts w:asciiTheme="minorHAnsi" w:hAnsiTheme="minorHAnsi" w:cstheme="minorHAnsi"/>
                <w:szCs w:val="22"/>
              </w:rPr>
            </w:pPr>
          </w:p>
        </w:tc>
      </w:tr>
      <w:tr w:rsidR="000C4729" w:rsidRPr="000F7476" w14:paraId="7266DFBC" w14:textId="77777777" w:rsidTr="000F7476">
        <w:trPr>
          <w:trHeight w:val="454"/>
        </w:trPr>
        <w:tc>
          <w:tcPr>
            <w:tcW w:w="709" w:type="dxa"/>
          </w:tcPr>
          <w:p w14:paraId="7D67CCDF" w14:textId="77777777" w:rsidR="000C4729" w:rsidRPr="000F7476" w:rsidRDefault="000C4729" w:rsidP="005674F5">
            <w:pPr>
              <w:pStyle w:val="Header"/>
              <w:jc w:val="both"/>
              <w:rPr>
                <w:rFonts w:asciiTheme="minorHAnsi" w:hAnsiTheme="minorHAnsi" w:cstheme="minorHAnsi"/>
                <w:szCs w:val="22"/>
              </w:rPr>
            </w:pPr>
          </w:p>
        </w:tc>
        <w:tc>
          <w:tcPr>
            <w:tcW w:w="709" w:type="dxa"/>
          </w:tcPr>
          <w:p w14:paraId="122B82DF" w14:textId="77777777" w:rsidR="000C4729" w:rsidRPr="000F7476" w:rsidRDefault="000C4729" w:rsidP="005674F5">
            <w:pPr>
              <w:pStyle w:val="Header"/>
              <w:jc w:val="both"/>
              <w:rPr>
                <w:rFonts w:asciiTheme="minorHAnsi" w:hAnsiTheme="minorHAnsi" w:cstheme="minorHAnsi"/>
                <w:szCs w:val="22"/>
              </w:rPr>
            </w:pPr>
          </w:p>
        </w:tc>
        <w:tc>
          <w:tcPr>
            <w:tcW w:w="567" w:type="dxa"/>
          </w:tcPr>
          <w:p w14:paraId="2A48623B" w14:textId="77777777" w:rsidR="000C4729" w:rsidRPr="000F7476" w:rsidRDefault="000C4729" w:rsidP="005674F5">
            <w:pPr>
              <w:pStyle w:val="Header"/>
              <w:jc w:val="both"/>
              <w:rPr>
                <w:rFonts w:asciiTheme="minorHAnsi" w:hAnsiTheme="minorHAnsi" w:cstheme="minorHAnsi"/>
                <w:szCs w:val="22"/>
              </w:rPr>
            </w:pPr>
          </w:p>
        </w:tc>
        <w:tc>
          <w:tcPr>
            <w:tcW w:w="850" w:type="dxa"/>
          </w:tcPr>
          <w:p w14:paraId="35ED3445" w14:textId="77777777" w:rsidR="000C4729" w:rsidRPr="000F7476" w:rsidRDefault="000C4729" w:rsidP="005674F5">
            <w:pPr>
              <w:pStyle w:val="Header"/>
              <w:jc w:val="both"/>
              <w:rPr>
                <w:rFonts w:asciiTheme="minorHAnsi" w:hAnsiTheme="minorHAnsi" w:cstheme="minorHAnsi"/>
                <w:szCs w:val="22"/>
              </w:rPr>
            </w:pPr>
          </w:p>
        </w:tc>
        <w:tc>
          <w:tcPr>
            <w:tcW w:w="709" w:type="dxa"/>
          </w:tcPr>
          <w:p w14:paraId="67FB15CD"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26805867" w14:textId="77777777" w:rsidR="000C4729" w:rsidRPr="000F7476" w:rsidRDefault="000C4729" w:rsidP="005674F5">
            <w:pPr>
              <w:pStyle w:val="Header"/>
              <w:jc w:val="both"/>
              <w:rPr>
                <w:rFonts w:asciiTheme="minorHAnsi" w:hAnsiTheme="minorHAnsi" w:cstheme="minorHAnsi"/>
                <w:szCs w:val="22"/>
              </w:rPr>
            </w:pPr>
          </w:p>
        </w:tc>
        <w:tc>
          <w:tcPr>
            <w:tcW w:w="992" w:type="dxa"/>
          </w:tcPr>
          <w:p w14:paraId="24CC35B8" w14:textId="77777777" w:rsidR="000C4729" w:rsidRPr="000F7476" w:rsidRDefault="000C4729" w:rsidP="005674F5">
            <w:pPr>
              <w:pStyle w:val="Header"/>
              <w:jc w:val="both"/>
              <w:rPr>
                <w:rFonts w:asciiTheme="minorHAnsi" w:hAnsiTheme="minorHAnsi" w:cstheme="minorHAnsi"/>
                <w:szCs w:val="22"/>
              </w:rPr>
            </w:pPr>
          </w:p>
        </w:tc>
        <w:tc>
          <w:tcPr>
            <w:tcW w:w="567" w:type="dxa"/>
          </w:tcPr>
          <w:p w14:paraId="4935A690" w14:textId="77777777" w:rsidR="000C4729" w:rsidRPr="000F7476" w:rsidRDefault="000C4729" w:rsidP="005674F5">
            <w:pPr>
              <w:pStyle w:val="Header"/>
              <w:jc w:val="both"/>
              <w:rPr>
                <w:rFonts w:asciiTheme="minorHAnsi" w:hAnsiTheme="minorHAnsi" w:cstheme="minorHAnsi"/>
                <w:szCs w:val="22"/>
              </w:rPr>
            </w:pPr>
          </w:p>
        </w:tc>
        <w:tc>
          <w:tcPr>
            <w:tcW w:w="1276" w:type="dxa"/>
          </w:tcPr>
          <w:p w14:paraId="2A43D089" w14:textId="77777777" w:rsidR="000C4729" w:rsidRPr="000F7476" w:rsidRDefault="000C4729" w:rsidP="005674F5">
            <w:pPr>
              <w:pStyle w:val="Header"/>
              <w:jc w:val="both"/>
              <w:rPr>
                <w:rFonts w:asciiTheme="minorHAnsi" w:hAnsiTheme="minorHAnsi" w:cstheme="minorHAnsi"/>
                <w:szCs w:val="22"/>
              </w:rPr>
            </w:pPr>
          </w:p>
        </w:tc>
        <w:tc>
          <w:tcPr>
            <w:tcW w:w="709" w:type="dxa"/>
          </w:tcPr>
          <w:p w14:paraId="06A3D2AB" w14:textId="77777777" w:rsidR="000C4729" w:rsidRPr="000F7476" w:rsidRDefault="000C4729" w:rsidP="005674F5">
            <w:pPr>
              <w:pStyle w:val="Header"/>
              <w:jc w:val="both"/>
              <w:rPr>
                <w:rFonts w:asciiTheme="minorHAnsi" w:hAnsiTheme="minorHAnsi" w:cstheme="minorHAnsi"/>
                <w:szCs w:val="22"/>
              </w:rPr>
            </w:pPr>
          </w:p>
        </w:tc>
        <w:tc>
          <w:tcPr>
            <w:tcW w:w="709" w:type="dxa"/>
          </w:tcPr>
          <w:p w14:paraId="55D594C1" w14:textId="77777777" w:rsidR="000C4729" w:rsidRPr="000F7476" w:rsidRDefault="000C4729" w:rsidP="005674F5">
            <w:pPr>
              <w:pStyle w:val="Header"/>
              <w:jc w:val="both"/>
              <w:rPr>
                <w:rFonts w:asciiTheme="minorHAnsi" w:hAnsiTheme="minorHAnsi" w:cstheme="minorHAnsi"/>
                <w:szCs w:val="22"/>
              </w:rPr>
            </w:pPr>
          </w:p>
        </w:tc>
        <w:tc>
          <w:tcPr>
            <w:tcW w:w="567" w:type="dxa"/>
          </w:tcPr>
          <w:p w14:paraId="7DB89783"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2D996FE8" w14:textId="77777777" w:rsidR="000C4729" w:rsidRPr="000F7476" w:rsidRDefault="000C4729" w:rsidP="005674F5">
            <w:pPr>
              <w:pStyle w:val="Header"/>
              <w:jc w:val="both"/>
              <w:rPr>
                <w:rFonts w:asciiTheme="minorHAnsi" w:hAnsiTheme="minorHAnsi" w:cstheme="minorHAnsi"/>
                <w:szCs w:val="22"/>
              </w:rPr>
            </w:pPr>
          </w:p>
        </w:tc>
      </w:tr>
      <w:tr w:rsidR="000C4729" w:rsidRPr="000F7476" w14:paraId="156DECBD" w14:textId="77777777" w:rsidTr="000F7476">
        <w:trPr>
          <w:trHeight w:val="454"/>
        </w:trPr>
        <w:tc>
          <w:tcPr>
            <w:tcW w:w="709" w:type="dxa"/>
          </w:tcPr>
          <w:p w14:paraId="6FA221EF" w14:textId="77777777" w:rsidR="000C4729" w:rsidRPr="000F7476" w:rsidRDefault="000C4729" w:rsidP="005674F5">
            <w:pPr>
              <w:pStyle w:val="Header"/>
              <w:jc w:val="both"/>
              <w:rPr>
                <w:rFonts w:asciiTheme="minorHAnsi" w:hAnsiTheme="minorHAnsi" w:cstheme="minorHAnsi"/>
                <w:szCs w:val="22"/>
              </w:rPr>
            </w:pPr>
          </w:p>
        </w:tc>
        <w:tc>
          <w:tcPr>
            <w:tcW w:w="709" w:type="dxa"/>
          </w:tcPr>
          <w:p w14:paraId="39FCCABB" w14:textId="77777777" w:rsidR="000C4729" w:rsidRPr="000F7476" w:rsidRDefault="000C4729" w:rsidP="005674F5">
            <w:pPr>
              <w:pStyle w:val="Header"/>
              <w:jc w:val="both"/>
              <w:rPr>
                <w:rFonts w:asciiTheme="minorHAnsi" w:hAnsiTheme="minorHAnsi" w:cstheme="minorHAnsi"/>
                <w:szCs w:val="22"/>
              </w:rPr>
            </w:pPr>
          </w:p>
        </w:tc>
        <w:tc>
          <w:tcPr>
            <w:tcW w:w="567" w:type="dxa"/>
          </w:tcPr>
          <w:p w14:paraId="31FA39FB" w14:textId="77777777" w:rsidR="000C4729" w:rsidRPr="000F7476" w:rsidRDefault="000C4729" w:rsidP="005674F5">
            <w:pPr>
              <w:pStyle w:val="Header"/>
              <w:jc w:val="both"/>
              <w:rPr>
                <w:rFonts w:asciiTheme="minorHAnsi" w:hAnsiTheme="minorHAnsi" w:cstheme="minorHAnsi"/>
                <w:szCs w:val="22"/>
              </w:rPr>
            </w:pPr>
          </w:p>
        </w:tc>
        <w:tc>
          <w:tcPr>
            <w:tcW w:w="850" w:type="dxa"/>
          </w:tcPr>
          <w:p w14:paraId="678F280D" w14:textId="77777777" w:rsidR="000C4729" w:rsidRPr="000F7476" w:rsidRDefault="000C4729" w:rsidP="005674F5">
            <w:pPr>
              <w:pStyle w:val="Header"/>
              <w:jc w:val="both"/>
              <w:rPr>
                <w:rFonts w:asciiTheme="minorHAnsi" w:hAnsiTheme="minorHAnsi" w:cstheme="minorHAnsi"/>
                <w:szCs w:val="22"/>
              </w:rPr>
            </w:pPr>
          </w:p>
        </w:tc>
        <w:tc>
          <w:tcPr>
            <w:tcW w:w="709" w:type="dxa"/>
          </w:tcPr>
          <w:p w14:paraId="7A005AB4"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7AA49F60" w14:textId="77777777" w:rsidR="000C4729" w:rsidRPr="000F7476" w:rsidRDefault="000C4729" w:rsidP="005674F5">
            <w:pPr>
              <w:pStyle w:val="Header"/>
              <w:jc w:val="both"/>
              <w:rPr>
                <w:rFonts w:asciiTheme="minorHAnsi" w:hAnsiTheme="minorHAnsi" w:cstheme="minorHAnsi"/>
                <w:szCs w:val="22"/>
              </w:rPr>
            </w:pPr>
          </w:p>
        </w:tc>
        <w:tc>
          <w:tcPr>
            <w:tcW w:w="992" w:type="dxa"/>
          </w:tcPr>
          <w:p w14:paraId="18832CF9" w14:textId="77777777" w:rsidR="000C4729" w:rsidRPr="000F7476" w:rsidRDefault="000C4729" w:rsidP="005674F5">
            <w:pPr>
              <w:pStyle w:val="Header"/>
              <w:jc w:val="both"/>
              <w:rPr>
                <w:rFonts w:asciiTheme="minorHAnsi" w:hAnsiTheme="minorHAnsi" w:cstheme="minorHAnsi"/>
                <w:szCs w:val="22"/>
              </w:rPr>
            </w:pPr>
          </w:p>
        </w:tc>
        <w:tc>
          <w:tcPr>
            <w:tcW w:w="567" w:type="dxa"/>
          </w:tcPr>
          <w:p w14:paraId="7B61131C" w14:textId="77777777" w:rsidR="000C4729" w:rsidRPr="000F7476" w:rsidRDefault="000C4729" w:rsidP="005674F5">
            <w:pPr>
              <w:pStyle w:val="Header"/>
              <w:jc w:val="both"/>
              <w:rPr>
                <w:rFonts w:asciiTheme="minorHAnsi" w:hAnsiTheme="minorHAnsi" w:cstheme="minorHAnsi"/>
                <w:szCs w:val="22"/>
              </w:rPr>
            </w:pPr>
          </w:p>
        </w:tc>
        <w:tc>
          <w:tcPr>
            <w:tcW w:w="1276" w:type="dxa"/>
          </w:tcPr>
          <w:p w14:paraId="56272463" w14:textId="77777777" w:rsidR="000C4729" w:rsidRPr="000F7476" w:rsidRDefault="000C4729" w:rsidP="005674F5">
            <w:pPr>
              <w:pStyle w:val="Header"/>
              <w:jc w:val="both"/>
              <w:rPr>
                <w:rFonts w:asciiTheme="minorHAnsi" w:hAnsiTheme="minorHAnsi" w:cstheme="minorHAnsi"/>
                <w:szCs w:val="22"/>
              </w:rPr>
            </w:pPr>
          </w:p>
        </w:tc>
        <w:tc>
          <w:tcPr>
            <w:tcW w:w="709" w:type="dxa"/>
          </w:tcPr>
          <w:p w14:paraId="36ABD6B0" w14:textId="77777777" w:rsidR="000C4729" w:rsidRPr="000F7476" w:rsidRDefault="000C4729" w:rsidP="005674F5">
            <w:pPr>
              <w:pStyle w:val="Header"/>
              <w:jc w:val="both"/>
              <w:rPr>
                <w:rFonts w:asciiTheme="minorHAnsi" w:hAnsiTheme="minorHAnsi" w:cstheme="minorHAnsi"/>
                <w:szCs w:val="22"/>
              </w:rPr>
            </w:pPr>
          </w:p>
        </w:tc>
        <w:tc>
          <w:tcPr>
            <w:tcW w:w="709" w:type="dxa"/>
          </w:tcPr>
          <w:p w14:paraId="7957E6EA" w14:textId="77777777" w:rsidR="000C4729" w:rsidRPr="000F7476" w:rsidRDefault="000C4729" w:rsidP="005674F5">
            <w:pPr>
              <w:pStyle w:val="Header"/>
              <w:jc w:val="both"/>
              <w:rPr>
                <w:rFonts w:asciiTheme="minorHAnsi" w:hAnsiTheme="minorHAnsi" w:cstheme="minorHAnsi"/>
                <w:szCs w:val="22"/>
              </w:rPr>
            </w:pPr>
          </w:p>
        </w:tc>
        <w:tc>
          <w:tcPr>
            <w:tcW w:w="567" w:type="dxa"/>
          </w:tcPr>
          <w:p w14:paraId="3C429C10"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6269F1CB" w14:textId="77777777" w:rsidR="000C4729" w:rsidRPr="000F7476" w:rsidRDefault="000C4729" w:rsidP="005674F5">
            <w:pPr>
              <w:pStyle w:val="Header"/>
              <w:jc w:val="both"/>
              <w:rPr>
                <w:rFonts w:asciiTheme="minorHAnsi" w:hAnsiTheme="minorHAnsi" w:cstheme="minorHAnsi"/>
                <w:szCs w:val="22"/>
              </w:rPr>
            </w:pPr>
          </w:p>
        </w:tc>
      </w:tr>
      <w:tr w:rsidR="000C4729" w:rsidRPr="000F7476" w14:paraId="2232EABC" w14:textId="77777777" w:rsidTr="000F7476">
        <w:trPr>
          <w:trHeight w:val="454"/>
        </w:trPr>
        <w:tc>
          <w:tcPr>
            <w:tcW w:w="709" w:type="dxa"/>
          </w:tcPr>
          <w:p w14:paraId="351FC908" w14:textId="77777777" w:rsidR="000C4729" w:rsidRPr="000F7476" w:rsidRDefault="000C4729" w:rsidP="005674F5">
            <w:pPr>
              <w:pStyle w:val="Header"/>
              <w:jc w:val="both"/>
              <w:rPr>
                <w:rFonts w:asciiTheme="minorHAnsi" w:hAnsiTheme="minorHAnsi" w:cstheme="minorHAnsi"/>
                <w:szCs w:val="22"/>
              </w:rPr>
            </w:pPr>
          </w:p>
        </w:tc>
        <w:tc>
          <w:tcPr>
            <w:tcW w:w="709" w:type="dxa"/>
          </w:tcPr>
          <w:p w14:paraId="1F6FFE7E" w14:textId="77777777" w:rsidR="000C4729" w:rsidRPr="000F7476" w:rsidRDefault="000C4729" w:rsidP="005674F5">
            <w:pPr>
              <w:pStyle w:val="Header"/>
              <w:jc w:val="both"/>
              <w:rPr>
                <w:rFonts w:asciiTheme="minorHAnsi" w:hAnsiTheme="minorHAnsi" w:cstheme="minorHAnsi"/>
                <w:szCs w:val="22"/>
              </w:rPr>
            </w:pPr>
          </w:p>
        </w:tc>
        <w:tc>
          <w:tcPr>
            <w:tcW w:w="567" w:type="dxa"/>
          </w:tcPr>
          <w:p w14:paraId="2682DF4C" w14:textId="77777777" w:rsidR="000C4729" w:rsidRPr="000F7476" w:rsidRDefault="000C4729" w:rsidP="005674F5">
            <w:pPr>
              <w:pStyle w:val="Header"/>
              <w:jc w:val="both"/>
              <w:rPr>
                <w:rFonts w:asciiTheme="minorHAnsi" w:hAnsiTheme="minorHAnsi" w:cstheme="minorHAnsi"/>
                <w:szCs w:val="22"/>
              </w:rPr>
            </w:pPr>
          </w:p>
        </w:tc>
        <w:tc>
          <w:tcPr>
            <w:tcW w:w="850" w:type="dxa"/>
          </w:tcPr>
          <w:p w14:paraId="05BD30F1" w14:textId="77777777" w:rsidR="000C4729" w:rsidRPr="000F7476" w:rsidRDefault="000C4729" w:rsidP="005674F5">
            <w:pPr>
              <w:pStyle w:val="Header"/>
              <w:jc w:val="both"/>
              <w:rPr>
                <w:rFonts w:asciiTheme="minorHAnsi" w:hAnsiTheme="minorHAnsi" w:cstheme="minorHAnsi"/>
                <w:szCs w:val="22"/>
              </w:rPr>
            </w:pPr>
          </w:p>
        </w:tc>
        <w:tc>
          <w:tcPr>
            <w:tcW w:w="709" w:type="dxa"/>
          </w:tcPr>
          <w:p w14:paraId="460B4838"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39DE6ECD" w14:textId="77777777" w:rsidR="000C4729" w:rsidRPr="000F7476" w:rsidRDefault="000C4729" w:rsidP="005674F5">
            <w:pPr>
              <w:pStyle w:val="Header"/>
              <w:jc w:val="both"/>
              <w:rPr>
                <w:rFonts w:asciiTheme="minorHAnsi" w:hAnsiTheme="minorHAnsi" w:cstheme="minorHAnsi"/>
                <w:szCs w:val="22"/>
              </w:rPr>
            </w:pPr>
          </w:p>
        </w:tc>
        <w:tc>
          <w:tcPr>
            <w:tcW w:w="992" w:type="dxa"/>
          </w:tcPr>
          <w:p w14:paraId="254D7BE0" w14:textId="77777777" w:rsidR="000C4729" w:rsidRPr="000F7476" w:rsidRDefault="000C4729" w:rsidP="005674F5">
            <w:pPr>
              <w:pStyle w:val="Header"/>
              <w:jc w:val="both"/>
              <w:rPr>
                <w:rFonts w:asciiTheme="minorHAnsi" w:hAnsiTheme="minorHAnsi" w:cstheme="minorHAnsi"/>
                <w:szCs w:val="22"/>
              </w:rPr>
            </w:pPr>
          </w:p>
        </w:tc>
        <w:tc>
          <w:tcPr>
            <w:tcW w:w="567" w:type="dxa"/>
          </w:tcPr>
          <w:p w14:paraId="28960C34" w14:textId="77777777" w:rsidR="000C4729" w:rsidRPr="000F7476" w:rsidRDefault="000C4729" w:rsidP="005674F5">
            <w:pPr>
              <w:pStyle w:val="Header"/>
              <w:jc w:val="both"/>
              <w:rPr>
                <w:rFonts w:asciiTheme="minorHAnsi" w:hAnsiTheme="minorHAnsi" w:cstheme="minorHAnsi"/>
                <w:szCs w:val="22"/>
              </w:rPr>
            </w:pPr>
          </w:p>
        </w:tc>
        <w:tc>
          <w:tcPr>
            <w:tcW w:w="1276" w:type="dxa"/>
          </w:tcPr>
          <w:p w14:paraId="1F5EF9D7" w14:textId="77777777" w:rsidR="000C4729" w:rsidRPr="000F7476" w:rsidRDefault="000C4729" w:rsidP="005674F5">
            <w:pPr>
              <w:pStyle w:val="Header"/>
              <w:jc w:val="both"/>
              <w:rPr>
                <w:rFonts w:asciiTheme="minorHAnsi" w:hAnsiTheme="minorHAnsi" w:cstheme="minorHAnsi"/>
                <w:szCs w:val="22"/>
              </w:rPr>
            </w:pPr>
          </w:p>
        </w:tc>
        <w:tc>
          <w:tcPr>
            <w:tcW w:w="709" w:type="dxa"/>
          </w:tcPr>
          <w:p w14:paraId="19A36382" w14:textId="77777777" w:rsidR="000C4729" w:rsidRPr="000F7476" w:rsidRDefault="000C4729" w:rsidP="005674F5">
            <w:pPr>
              <w:pStyle w:val="Header"/>
              <w:jc w:val="both"/>
              <w:rPr>
                <w:rFonts w:asciiTheme="minorHAnsi" w:hAnsiTheme="minorHAnsi" w:cstheme="minorHAnsi"/>
                <w:szCs w:val="22"/>
              </w:rPr>
            </w:pPr>
          </w:p>
        </w:tc>
        <w:tc>
          <w:tcPr>
            <w:tcW w:w="709" w:type="dxa"/>
          </w:tcPr>
          <w:p w14:paraId="2C2D20C2" w14:textId="77777777" w:rsidR="000C4729" w:rsidRPr="000F7476" w:rsidRDefault="000C4729" w:rsidP="005674F5">
            <w:pPr>
              <w:pStyle w:val="Header"/>
              <w:jc w:val="both"/>
              <w:rPr>
                <w:rFonts w:asciiTheme="minorHAnsi" w:hAnsiTheme="minorHAnsi" w:cstheme="minorHAnsi"/>
                <w:szCs w:val="22"/>
              </w:rPr>
            </w:pPr>
          </w:p>
        </w:tc>
        <w:tc>
          <w:tcPr>
            <w:tcW w:w="567" w:type="dxa"/>
          </w:tcPr>
          <w:p w14:paraId="5A4E8499"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1141BE6C" w14:textId="77777777" w:rsidR="000C4729" w:rsidRPr="000F7476" w:rsidRDefault="000C4729" w:rsidP="005674F5">
            <w:pPr>
              <w:pStyle w:val="Header"/>
              <w:jc w:val="both"/>
              <w:rPr>
                <w:rFonts w:asciiTheme="minorHAnsi" w:hAnsiTheme="minorHAnsi" w:cstheme="minorHAnsi"/>
                <w:szCs w:val="22"/>
              </w:rPr>
            </w:pPr>
          </w:p>
        </w:tc>
      </w:tr>
      <w:tr w:rsidR="000C4729" w:rsidRPr="000F7476" w14:paraId="041790F2" w14:textId="77777777" w:rsidTr="000F7476">
        <w:trPr>
          <w:trHeight w:val="454"/>
        </w:trPr>
        <w:tc>
          <w:tcPr>
            <w:tcW w:w="709" w:type="dxa"/>
          </w:tcPr>
          <w:p w14:paraId="1663FC4D" w14:textId="77777777" w:rsidR="000C4729" w:rsidRPr="000F7476" w:rsidRDefault="000C4729" w:rsidP="005674F5">
            <w:pPr>
              <w:pStyle w:val="Header"/>
              <w:jc w:val="both"/>
              <w:rPr>
                <w:rFonts w:asciiTheme="minorHAnsi" w:hAnsiTheme="minorHAnsi" w:cstheme="minorHAnsi"/>
                <w:szCs w:val="22"/>
              </w:rPr>
            </w:pPr>
          </w:p>
        </w:tc>
        <w:tc>
          <w:tcPr>
            <w:tcW w:w="709" w:type="dxa"/>
          </w:tcPr>
          <w:p w14:paraId="14D2CCD3" w14:textId="77777777" w:rsidR="000C4729" w:rsidRPr="000F7476" w:rsidRDefault="000C4729" w:rsidP="005674F5">
            <w:pPr>
              <w:pStyle w:val="Header"/>
              <w:jc w:val="both"/>
              <w:rPr>
                <w:rFonts w:asciiTheme="minorHAnsi" w:hAnsiTheme="minorHAnsi" w:cstheme="minorHAnsi"/>
                <w:szCs w:val="22"/>
              </w:rPr>
            </w:pPr>
          </w:p>
        </w:tc>
        <w:tc>
          <w:tcPr>
            <w:tcW w:w="567" w:type="dxa"/>
          </w:tcPr>
          <w:p w14:paraId="76086CA0" w14:textId="77777777" w:rsidR="000C4729" w:rsidRPr="000F7476" w:rsidRDefault="000C4729" w:rsidP="005674F5">
            <w:pPr>
              <w:pStyle w:val="Header"/>
              <w:jc w:val="both"/>
              <w:rPr>
                <w:rFonts w:asciiTheme="minorHAnsi" w:hAnsiTheme="minorHAnsi" w:cstheme="minorHAnsi"/>
                <w:szCs w:val="22"/>
              </w:rPr>
            </w:pPr>
          </w:p>
        </w:tc>
        <w:tc>
          <w:tcPr>
            <w:tcW w:w="850" w:type="dxa"/>
          </w:tcPr>
          <w:p w14:paraId="3C3C3C3F" w14:textId="77777777" w:rsidR="000C4729" w:rsidRPr="000F7476" w:rsidRDefault="000C4729" w:rsidP="005674F5">
            <w:pPr>
              <w:pStyle w:val="Header"/>
              <w:jc w:val="both"/>
              <w:rPr>
                <w:rFonts w:asciiTheme="minorHAnsi" w:hAnsiTheme="minorHAnsi" w:cstheme="minorHAnsi"/>
                <w:szCs w:val="22"/>
              </w:rPr>
            </w:pPr>
          </w:p>
        </w:tc>
        <w:tc>
          <w:tcPr>
            <w:tcW w:w="709" w:type="dxa"/>
          </w:tcPr>
          <w:p w14:paraId="6DE01C1E"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49A3A5EE" w14:textId="77777777" w:rsidR="000C4729" w:rsidRPr="000F7476" w:rsidRDefault="000C4729" w:rsidP="005674F5">
            <w:pPr>
              <w:pStyle w:val="Header"/>
              <w:jc w:val="both"/>
              <w:rPr>
                <w:rFonts w:asciiTheme="minorHAnsi" w:hAnsiTheme="minorHAnsi" w:cstheme="minorHAnsi"/>
                <w:szCs w:val="22"/>
              </w:rPr>
            </w:pPr>
          </w:p>
        </w:tc>
        <w:tc>
          <w:tcPr>
            <w:tcW w:w="992" w:type="dxa"/>
          </w:tcPr>
          <w:p w14:paraId="26217F31" w14:textId="77777777" w:rsidR="000C4729" w:rsidRPr="000F7476" w:rsidRDefault="000C4729" w:rsidP="005674F5">
            <w:pPr>
              <w:pStyle w:val="Header"/>
              <w:jc w:val="both"/>
              <w:rPr>
                <w:rFonts w:asciiTheme="minorHAnsi" w:hAnsiTheme="minorHAnsi" w:cstheme="minorHAnsi"/>
                <w:szCs w:val="22"/>
              </w:rPr>
            </w:pPr>
          </w:p>
        </w:tc>
        <w:tc>
          <w:tcPr>
            <w:tcW w:w="567" w:type="dxa"/>
          </w:tcPr>
          <w:p w14:paraId="6E194B92" w14:textId="77777777" w:rsidR="000C4729" w:rsidRPr="000F7476" w:rsidRDefault="000C4729" w:rsidP="005674F5">
            <w:pPr>
              <w:pStyle w:val="Header"/>
              <w:jc w:val="both"/>
              <w:rPr>
                <w:rFonts w:asciiTheme="minorHAnsi" w:hAnsiTheme="minorHAnsi" w:cstheme="minorHAnsi"/>
                <w:szCs w:val="22"/>
              </w:rPr>
            </w:pPr>
          </w:p>
        </w:tc>
        <w:tc>
          <w:tcPr>
            <w:tcW w:w="1276" w:type="dxa"/>
          </w:tcPr>
          <w:p w14:paraId="5B7518E6" w14:textId="77777777" w:rsidR="000C4729" w:rsidRPr="000F7476" w:rsidRDefault="000C4729" w:rsidP="005674F5">
            <w:pPr>
              <w:pStyle w:val="Header"/>
              <w:jc w:val="both"/>
              <w:rPr>
                <w:rFonts w:asciiTheme="minorHAnsi" w:hAnsiTheme="minorHAnsi" w:cstheme="minorHAnsi"/>
                <w:szCs w:val="22"/>
              </w:rPr>
            </w:pPr>
          </w:p>
        </w:tc>
        <w:tc>
          <w:tcPr>
            <w:tcW w:w="709" w:type="dxa"/>
          </w:tcPr>
          <w:p w14:paraId="364908F2" w14:textId="77777777" w:rsidR="000C4729" w:rsidRPr="000F7476" w:rsidRDefault="000C4729" w:rsidP="005674F5">
            <w:pPr>
              <w:pStyle w:val="Header"/>
              <w:jc w:val="both"/>
              <w:rPr>
                <w:rFonts w:asciiTheme="minorHAnsi" w:hAnsiTheme="minorHAnsi" w:cstheme="minorHAnsi"/>
                <w:szCs w:val="22"/>
              </w:rPr>
            </w:pPr>
          </w:p>
        </w:tc>
        <w:tc>
          <w:tcPr>
            <w:tcW w:w="709" w:type="dxa"/>
          </w:tcPr>
          <w:p w14:paraId="2AE8FA24" w14:textId="77777777" w:rsidR="000C4729" w:rsidRPr="000F7476" w:rsidRDefault="000C4729" w:rsidP="005674F5">
            <w:pPr>
              <w:pStyle w:val="Header"/>
              <w:jc w:val="both"/>
              <w:rPr>
                <w:rFonts w:asciiTheme="minorHAnsi" w:hAnsiTheme="minorHAnsi" w:cstheme="minorHAnsi"/>
                <w:szCs w:val="22"/>
              </w:rPr>
            </w:pPr>
          </w:p>
        </w:tc>
        <w:tc>
          <w:tcPr>
            <w:tcW w:w="567" w:type="dxa"/>
          </w:tcPr>
          <w:p w14:paraId="46D102D5" w14:textId="77777777" w:rsidR="000C4729" w:rsidRPr="000F7476" w:rsidRDefault="000C4729" w:rsidP="005674F5">
            <w:pPr>
              <w:pStyle w:val="Header"/>
              <w:jc w:val="both"/>
              <w:rPr>
                <w:rFonts w:asciiTheme="minorHAnsi" w:hAnsiTheme="minorHAnsi" w:cstheme="minorHAnsi"/>
                <w:szCs w:val="22"/>
              </w:rPr>
            </w:pPr>
          </w:p>
        </w:tc>
        <w:tc>
          <w:tcPr>
            <w:tcW w:w="1134" w:type="dxa"/>
          </w:tcPr>
          <w:p w14:paraId="5B66715B" w14:textId="77777777" w:rsidR="000C4729" w:rsidRPr="000F7476" w:rsidRDefault="000C4729" w:rsidP="005674F5">
            <w:pPr>
              <w:pStyle w:val="Header"/>
              <w:jc w:val="both"/>
              <w:rPr>
                <w:rFonts w:asciiTheme="minorHAnsi" w:hAnsiTheme="minorHAnsi" w:cstheme="minorHAnsi"/>
                <w:szCs w:val="22"/>
              </w:rPr>
            </w:pPr>
          </w:p>
        </w:tc>
      </w:tr>
    </w:tbl>
    <w:p w14:paraId="1720421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Cs/>
        </w:rPr>
      </w:pPr>
      <w:r w:rsidRPr="000F7476">
        <w:rPr>
          <w:rFonts w:asciiTheme="minorHAnsi" w:hAnsiTheme="minorHAnsi" w:cstheme="minorHAnsi"/>
          <w:bCs/>
        </w:rPr>
        <w:t>*   - for maximum filling % see above /  Element 6C.2.1.4</w:t>
      </w:r>
    </w:p>
    <w:p w14:paraId="4B93822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Cs/>
        </w:rPr>
      </w:pPr>
      <w:r w:rsidRPr="000F7476">
        <w:rPr>
          <w:rFonts w:asciiTheme="minorHAnsi" w:hAnsiTheme="minorHAnsi" w:cstheme="minorHAnsi"/>
          <w:bCs/>
        </w:rPr>
        <w:t>** - volume in tank prior bunkering</w:t>
      </w:r>
    </w:p>
    <w:bookmarkEnd w:id="2"/>
    <w:p w14:paraId="74F6102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264C1837"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5049CE1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3"/>
        <w:gridCol w:w="4657"/>
      </w:tblGrid>
      <w:tr w:rsidR="000C4729" w:rsidRPr="000F7476" w14:paraId="5ED97F3B" w14:textId="77777777" w:rsidTr="001820A4">
        <w:tc>
          <w:tcPr>
            <w:tcW w:w="4788" w:type="dxa"/>
          </w:tcPr>
          <w:p w14:paraId="5A011DA8" w14:textId="5FC26523" w:rsidR="000C4729" w:rsidRPr="00311FF3"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Describe the bunker line up requirements and detail staff responsible for verifying this to be correct.</w:t>
            </w:r>
          </w:p>
          <w:p w14:paraId="317EC1E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788" w:type="dxa"/>
          </w:tcPr>
          <w:p w14:paraId="66E0F30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58F2F32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7"/>
        <w:gridCol w:w="4663"/>
      </w:tblGrid>
      <w:tr w:rsidR="000C4729" w:rsidRPr="000F7476" w14:paraId="4CFDB900" w14:textId="77777777" w:rsidTr="001820A4">
        <w:tc>
          <w:tcPr>
            <w:tcW w:w="4788" w:type="dxa"/>
          </w:tcPr>
          <w:p w14:paraId="7B669DD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 xml:space="preserve">Describe the sequence of loading bunkers. </w:t>
            </w:r>
          </w:p>
          <w:p w14:paraId="589941BE"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061B6C10"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788" w:type="dxa"/>
          </w:tcPr>
          <w:p w14:paraId="650D5EE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3CAF17FB"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3"/>
        <w:gridCol w:w="4657"/>
      </w:tblGrid>
      <w:tr w:rsidR="000C4729" w:rsidRPr="000F7476" w14:paraId="7D502805" w14:textId="77777777" w:rsidTr="001820A4">
        <w:tc>
          <w:tcPr>
            <w:tcW w:w="4788" w:type="dxa"/>
          </w:tcPr>
          <w:p w14:paraId="2437D000"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Detail any special requirements of the vessel for segregation and required stoppages.</w:t>
            </w:r>
          </w:p>
          <w:p w14:paraId="313E903E"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7AA4ADBA"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788" w:type="dxa"/>
          </w:tcPr>
          <w:p w14:paraId="1AA9C0A5"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071C3CDC"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0"/>
        <w:gridCol w:w="4660"/>
      </w:tblGrid>
      <w:tr w:rsidR="000C4729" w:rsidRPr="000F7476" w14:paraId="677B1F13" w14:textId="77777777" w:rsidTr="001820A4">
        <w:tc>
          <w:tcPr>
            <w:tcW w:w="4788" w:type="dxa"/>
          </w:tcPr>
          <w:p w14:paraId="61576CE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 xml:space="preserve">Detail the procedure to be followed for changing over tanks whilst loading bunkers or transferring oily mixtures or sludge to shore reception facility. </w:t>
            </w:r>
          </w:p>
          <w:p w14:paraId="71F9E7D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t>This should include details of additional valve line-up checks, level monitoring in closed tanks, and monitoring of manifold back pressures.</w:t>
            </w:r>
          </w:p>
          <w:p w14:paraId="5703B8E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788" w:type="dxa"/>
          </w:tcPr>
          <w:p w14:paraId="44D982C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796415BC"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2"/>
        <w:gridCol w:w="4658"/>
      </w:tblGrid>
      <w:tr w:rsidR="000C4729" w:rsidRPr="000F7476" w14:paraId="409E2AA7" w14:textId="77777777" w:rsidTr="000F7476">
        <w:tc>
          <w:tcPr>
            <w:tcW w:w="4692" w:type="dxa"/>
          </w:tcPr>
          <w:p w14:paraId="41041EC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b/>
              </w:rPr>
              <w:t>Describe the procedures to be followed for topping off / discharge completion.</w:t>
            </w:r>
            <w:r w:rsidRPr="000F7476">
              <w:rPr>
                <w:rFonts w:asciiTheme="minorHAnsi" w:hAnsiTheme="minorHAnsi" w:cstheme="minorHAnsi"/>
              </w:rPr>
              <w:t xml:space="preserve"> </w:t>
            </w:r>
          </w:p>
          <w:p w14:paraId="561D054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t>This must include details of the vessel’s required topping off / discharge completion rate, the notice period to be given to suppliers, and increased levels of supervision for this critical stage of the operation.</w:t>
            </w:r>
          </w:p>
          <w:p w14:paraId="325FE72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142DDE7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658" w:type="dxa"/>
          </w:tcPr>
          <w:p w14:paraId="3EBBAB0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0ED7181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2"/>
        <w:gridCol w:w="4658"/>
      </w:tblGrid>
      <w:tr w:rsidR="000C4729" w:rsidRPr="000F7476" w14:paraId="787D3B54" w14:textId="77777777" w:rsidTr="001820A4">
        <w:tc>
          <w:tcPr>
            <w:tcW w:w="4788" w:type="dxa"/>
          </w:tcPr>
          <w:p w14:paraId="6CC418D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Detail the persons responsible for making anti-pollution preparations such as fitting of scupper plugs, checking save-all plugs are in place, ensuring all bunker vents are clear and ready for the operation, and preparing the oil spill response kit.</w:t>
            </w:r>
          </w:p>
          <w:p w14:paraId="1B40DF4B"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22C311B2"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788" w:type="dxa"/>
          </w:tcPr>
          <w:p w14:paraId="308A9E2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50E1F26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071CD75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7759FDD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59"/>
        <w:gridCol w:w="4629"/>
      </w:tblGrid>
      <w:tr w:rsidR="000C4729" w:rsidRPr="000F7476" w14:paraId="2E02576E" w14:textId="77777777" w:rsidTr="000F7476">
        <w:trPr>
          <w:trHeight w:val="744"/>
        </w:trPr>
        <w:tc>
          <w:tcPr>
            <w:tcW w:w="4659" w:type="dxa"/>
          </w:tcPr>
          <w:p w14:paraId="232833A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Detail the Oil Spill Equipment Available and its location during the bunkering operation.</w:t>
            </w:r>
          </w:p>
          <w:p w14:paraId="353843DD"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629" w:type="dxa"/>
          </w:tcPr>
          <w:p w14:paraId="4A90563E"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1E49640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008E989E"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0B3CCB0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3645C77A"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2AE0F51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8"/>
        <w:gridCol w:w="4652"/>
      </w:tblGrid>
      <w:tr w:rsidR="000C4729" w:rsidRPr="000F7476" w14:paraId="42075F5C" w14:textId="77777777" w:rsidTr="000F7476">
        <w:tc>
          <w:tcPr>
            <w:tcW w:w="4698" w:type="dxa"/>
          </w:tcPr>
          <w:p w14:paraId="49D98A9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Describe the level measurement system for the bunker / sludge tanks.</w:t>
            </w:r>
          </w:p>
          <w:p w14:paraId="39A6F32A"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p>
          <w:p w14:paraId="54CB551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 xml:space="preserve">Describe the procedure to be followed for monitoring the level in the bunker / sludge or </w:t>
            </w:r>
            <w:r w:rsidRPr="000F7476">
              <w:rPr>
                <w:rFonts w:asciiTheme="minorHAnsi" w:hAnsiTheme="minorHAnsi" w:cstheme="minorHAnsi"/>
                <w:b/>
              </w:rPr>
              <w:lastRenderedPageBreak/>
              <w:t>Bilge tanks during bunkering and the frequency of measurements. This should include a method for checking temperature if so required.</w:t>
            </w:r>
          </w:p>
          <w:p w14:paraId="178C547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p>
          <w:p w14:paraId="7D90E51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Comparison records should be maintained between manual and automated soundings to verify the accuracy of the automated system ( if applicable ). Any discrepancies must be reported to the management office.</w:t>
            </w:r>
          </w:p>
          <w:p w14:paraId="3AB0B1D7"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p>
          <w:p w14:paraId="27A357E7"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t>Details of the trim correction factor to be included.</w:t>
            </w:r>
          </w:p>
          <w:p w14:paraId="407007BE"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24E5E12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b/>
                <w:color w:val="4F81BD"/>
                <w:u w:val="single"/>
              </w:rPr>
              <w:t>REMEMBER</w:t>
            </w:r>
            <w:r w:rsidRPr="000F7476">
              <w:rPr>
                <w:rFonts w:asciiTheme="minorHAnsi" w:hAnsiTheme="minorHAnsi" w:cstheme="minorHAnsi"/>
                <w:color w:val="4F81BD"/>
              </w:rPr>
              <w:t xml:space="preserve"> to manually check all bunker tanks on the system in case of incorrect valve line-up.</w:t>
            </w:r>
          </w:p>
          <w:p w14:paraId="21FBB345"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50191B95"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652" w:type="dxa"/>
          </w:tcPr>
          <w:p w14:paraId="6E4401D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2FE22690"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1"/>
        <w:gridCol w:w="4659"/>
      </w:tblGrid>
      <w:tr w:rsidR="000C4729" w:rsidRPr="000F7476" w14:paraId="3DDBDE44" w14:textId="77777777" w:rsidTr="000F7476">
        <w:tc>
          <w:tcPr>
            <w:tcW w:w="4691" w:type="dxa"/>
          </w:tcPr>
          <w:p w14:paraId="78BAB60A"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Describe details of the High Level Alarm Systems onboard the vessel, including alarm set points. Describe how tested and  date of last test.</w:t>
            </w:r>
          </w:p>
          <w:p w14:paraId="2DE693B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6BF5A0A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4921356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1A0AC89A"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Describe the actions to be taken onboard upon activation of a high level alarm.</w:t>
            </w:r>
          </w:p>
          <w:p w14:paraId="2ABE6C0D"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6643F9B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Emergency stop tested ?</w:t>
            </w:r>
          </w:p>
          <w:p w14:paraId="58D02797"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659" w:type="dxa"/>
          </w:tcPr>
          <w:p w14:paraId="448BAF9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36EAA93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6"/>
        <w:gridCol w:w="4654"/>
      </w:tblGrid>
      <w:tr w:rsidR="000C4729" w:rsidRPr="000F7476" w14:paraId="4C8312B4" w14:textId="77777777" w:rsidTr="000F7476">
        <w:trPr>
          <w:trHeight w:val="2270"/>
        </w:trPr>
        <w:tc>
          <w:tcPr>
            <w:tcW w:w="4696" w:type="dxa"/>
          </w:tcPr>
          <w:p w14:paraId="70303FB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b/>
              </w:rPr>
              <w:t>Describe the Tank overflow arrangements and actions to be taken in the event of overflow.</w:t>
            </w:r>
          </w:p>
          <w:p w14:paraId="0609927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6B9DCA6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654" w:type="dxa"/>
          </w:tcPr>
          <w:p w14:paraId="1F6A4FC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5B7170E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6"/>
        <w:gridCol w:w="4674"/>
      </w:tblGrid>
      <w:tr w:rsidR="000C4729" w:rsidRPr="000F7476" w14:paraId="445CD725" w14:textId="77777777" w:rsidTr="001820A4">
        <w:tc>
          <w:tcPr>
            <w:tcW w:w="4788" w:type="dxa"/>
          </w:tcPr>
          <w:p w14:paraId="2A06701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Communications</w:t>
            </w:r>
          </w:p>
          <w:p w14:paraId="5407187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2F418B15"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788" w:type="dxa"/>
          </w:tcPr>
          <w:p w14:paraId="00816AEA"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t>Primary means of communication with suppliers /shore reception facility</w:t>
            </w:r>
          </w:p>
          <w:p w14:paraId="7FEF550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1B9D7BA2"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t>Secondary  means of communication with suppliers /shore reception facility</w:t>
            </w:r>
          </w:p>
          <w:p w14:paraId="039CBA9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2EADEF72"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lastRenderedPageBreak/>
              <w:t>Emergency Stop Signal to be used</w:t>
            </w:r>
          </w:p>
          <w:p w14:paraId="61C7A6AE"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435238E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color w:val="4F81BD"/>
              </w:rPr>
              <w:t>Internal Communications – VHF Channel to be used</w:t>
            </w:r>
          </w:p>
        </w:tc>
      </w:tr>
    </w:tbl>
    <w:p w14:paraId="38B6844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6"/>
        <w:gridCol w:w="4654"/>
      </w:tblGrid>
      <w:tr w:rsidR="000C4729" w:rsidRPr="000F7476" w14:paraId="14A23636" w14:textId="77777777" w:rsidTr="000F7476">
        <w:tc>
          <w:tcPr>
            <w:tcW w:w="4696" w:type="dxa"/>
          </w:tcPr>
          <w:p w14:paraId="501A97C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Sampling Arrangements</w:t>
            </w:r>
          </w:p>
          <w:p w14:paraId="273C980A" w14:textId="3156FB6C"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rPr>
              <w:t xml:space="preserve">As required by </w:t>
            </w:r>
            <w:r w:rsidR="00AA4B29">
              <w:rPr>
                <w:rFonts w:asciiTheme="minorHAnsi" w:hAnsiTheme="minorHAnsi" w:cstheme="minorHAnsi"/>
              </w:rPr>
              <w:t>S</w:t>
            </w:r>
            <w:r w:rsidRPr="000F7476">
              <w:rPr>
                <w:rFonts w:asciiTheme="minorHAnsi" w:hAnsiTheme="minorHAnsi" w:cstheme="minorHAnsi"/>
              </w:rPr>
              <w:t>MS FOP</w:t>
            </w:r>
          </w:p>
          <w:p w14:paraId="5AA171B3"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7E93D77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09EA179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40622B4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tc>
        <w:tc>
          <w:tcPr>
            <w:tcW w:w="4654" w:type="dxa"/>
          </w:tcPr>
          <w:p w14:paraId="11235C8D"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69B17AB5"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3"/>
        <w:gridCol w:w="4657"/>
      </w:tblGrid>
      <w:tr w:rsidR="000C4729" w:rsidRPr="000F7476" w14:paraId="219C8600" w14:textId="77777777" w:rsidTr="001820A4">
        <w:tc>
          <w:tcPr>
            <w:tcW w:w="4788" w:type="dxa"/>
          </w:tcPr>
          <w:p w14:paraId="58BD5E2D"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Safety</w:t>
            </w:r>
          </w:p>
          <w:p w14:paraId="73D2B7D1"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75E2B41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t>State PPE to be worn during bunkering</w:t>
            </w:r>
          </w:p>
          <w:p w14:paraId="152427E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375FCA7D"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70E7F560"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t>Arrangements for testing the presence of toxic and flammable gas. Ship’s personnel should always be alert to the possible presence of H2S and Benzene in bunker fuel.</w:t>
            </w:r>
          </w:p>
          <w:p w14:paraId="0DBD472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2138412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0628554E"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t>Procedures to be followed onboard in the event of high H2S and/or Benzene levels.</w:t>
            </w:r>
          </w:p>
          <w:p w14:paraId="545D468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3E60A7AC"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788" w:type="dxa"/>
          </w:tcPr>
          <w:p w14:paraId="1D0D485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0CCD6C6B"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1"/>
        <w:gridCol w:w="4659"/>
      </w:tblGrid>
      <w:tr w:rsidR="000C4729" w:rsidRPr="000F7476" w14:paraId="572560D6" w14:textId="77777777" w:rsidTr="001820A4">
        <w:tc>
          <w:tcPr>
            <w:tcW w:w="4788" w:type="dxa"/>
          </w:tcPr>
          <w:p w14:paraId="3FC5041C"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
              </w:rPr>
            </w:pPr>
            <w:r w:rsidRPr="000F7476">
              <w:rPr>
                <w:rFonts w:asciiTheme="minorHAnsi" w:hAnsiTheme="minorHAnsi" w:cstheme="minorHAnsi"/>
                <w:b/>
              </w:rPr>
              <w:t>Manning requirement to execute the operation safely.</w:t>
            </w:r>
          </w:p>
          <w:p w14:paraId="043B8BB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r w:rsidRPr="000F7476">
              <w:rPr>
                <w:rFonts w:asciiTheme="minorHAnsi" w:hAnsiTheme="minorHAnsi" w:cstheme="minorHAnsi"/>
                <w:color w:val="4F81BD"/>
              </w:rPr>
              <w:t xml:space="preserve">Personnel involved in the bunkering operation onboard should have no other tasks and should remain at their workstations during topping off / start of transfer of Sludge or Bilge water ashore. </w:t>
            </w:r>
          </w:p>
          <w:p w14:paraId="7B6B3095"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color w:val="4F81BD"/>
              </w:rPr>
            </w:pPr>
          </w:p>
          <w:p w14:paraId="5A33CD2C"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color w:val="4F81BD"/>
              </w:rPr>
              <w:t>This is particularly important when bunkers are being loaded concurrent with cargo operations, so that conflicts of interest for operational personnel are avoided.</w:t>
            </w:r>
          </w:p>
          <w:p w14:paraId="1052F35E"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594F239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c>
          <w:tcPr>
            <w:tcW w:w="4788" w:type="dxa"/>
          </w:tcPr>
          <w:p w14:paraId="4C14DB1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c>
      </w:tr>
    </w:tbl>
    <w:p w14:paraId="5000D20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3"/>
        <w:gridCol w:w="1447"/>
      </w:tblGrid>
      <w:tr w:rsidR="000C4729" w:rsidRPr="000F7476" w14:paraId="0A3A53E7" w14:textId="77777777" w:rsidTr="001820A4">
        <w:trPr>
          <w:cantSplit/>
        </w:trPr>
        <w:tc>
          <w:tcPr>
            <w:tcW w:w="4226" w:type="pct"/>
            <w:tcBorders>
              <w:bottom w:val="nil"/>
              <w:right w:val="nil"/>
            </w:tcBorders>
          </w:tcPr>
          <w:p w14:paraId="68AF8EF2" w14:textId="77777777" w:rsidR="000C4729" w:rsidRPr="000F7476" w:rsidRDefault="000C4729" w:rsidP="005674F5">
            <w:pPr>
              <w:pStyle w:val="Header"/>
              <w:jc w:val="both"/>
              <w:rPr>
                <w:rFonts w:asciiTheme="minorHAnsi" w:hAnsiTheme="minorHAnsi" w:cstheme="minorHAnsi"/>
                <w:b/>
                <w:noProof/>
                <w:szCs w:val="22"/>
              </w:rPr>
            </w:pPr>
            <w:r w:rsidRPr="000F7476">
              <w:rPr>
                <w:rFonts w:asciiTheme="minorHAnsi" w:hAnsiTheme="minorHAnsi" w:cstheme="minorHAnsi"/>
                <w:b/>
                <w:noProof/>
                <w:szCs w:val="22"/>
              </w:rPr>
              <w:t>Additional Notes</w:t>
            </w:r>
          </w:p>
        </w:tc>
        <w:tc>
          <w:tcPr>
            <w:tcW w:w="774" w:type="pct"/>
            <w:tcBorders>
              <w:left w:val="nil"/>
            </w:tcBorders>
          </w:tcPr>
          <w:p w14:paraId="320BD014" w14:textId="77777777" w:rsidR="000C4729" w:rsidRPr="000F7476" w:rsidRDefault="000C4729" w:rsidP="005674F5">
            <w:pPr>
              <w:pStyle w:val="Header"/>
              <w:jc w:val="both"/>
              <w:rPr>
                <w:rFonts w:asciiTheme="minorHAnsi" w:hAnsiTheme="minorHAnsi" w:cstheme="minorHAnsi"/>
                <w:noProof/>
                <w:szCs w:val="22"/>
              </w:rPr>
            </w:pPr>
          </w:p>
        </w:tc>
      </w:tr>
      <w:tr w:rsidR="000C4729" w:rsidRPr="000F7476" w14:paraId="6B52B7E4" w14:textId="77777777" w:rsidTr="001820A4">
        <w:tc>
          <w:tcPr>
            <w:tcW w:w="4226" w:type="pct"/>
            <w:tcBorders>
              <w:right w:val="nil"/>
            </w:tcBorders>
          </w:tcPr>
          <w:p w14:paraId="7AB18714" w14:textId="77777777" w:rsidR="000C4729" w:rsidRPr="000F7476" w:rsidRDefault="000C4729" w:rsidP="005674F5">
            <w:pPr>
              <w:pStyle w:val="Header"/>
              <w:jc w:val="both"/>
              <w:rPr>
                <w:rFonts w:asciiTheme="minorHAnsi" w:hAnsiTheme="minorHAnsi" w:cstheme="minorHAnsi"/>
                <w:noProof/>
                <w:szCs w:val="22"/>
              </w:rPr>
            </w:pPr>
          </w:p>
        </w:tc>
        <w:tc>
          <w:tcPr>
            <w:tcW w:w="774" w:type="pct"/>
            <w:tcBorders>
              <w:left w:val="nil"/>
            </w:tcBorders>
          </w:tcPr>
          <w:p w14:paraId="0797F305" w14:textId="77777777" w:rsidR="000C4729" w:rsidRPr="000F7476" w:rsidRDefault="000C4729" w:rsidP="005674F5">
            <w:pPr>
              <w:pStyle w:val="Header"/>
              <w:jc w:val="both"/>
              <w:rPr>
                <w:rFonts w:asciiTheme="minorHAnsi" w:hAnsiTheme="minorHAnsi" w:cstheme="minorHAnsi"/>
                <w:noProof/>
                <w:szCs w:val="22"/>
              </w:rPr>
            </w:pPr>
          </w:p>
        </w:tc>
      </w:tr>
      <w:tr w:rsidR="000C4729" w:rsidRPr="000F7476" w14:paraId="6B0CE283" w14:textId="77777777" w:rsidTr="001820A4">
        <w:tc>
          <w:tcPr>
            <w:tcW w:w="4226" w:type="pct"/>
            <w:tcBorders>
              <w:bottom w:val="nil"/>
              <w:right w:val="nil"/>
            </w:tcBorders>
          </w:tcPr>
          <w:p w14:paraId="49BBB15C" w14:textId="77777777" w:rsidR="000C4729" w:rsidRPr="000F7476" w:rsidRDefault="000C4729" w:rsidP="005674F5">
            <w:pPr>
              <w:pStyle w:val="Header"/>
              <w:jc w:val="both"/>
              <w:rPr>
                <w:rFonts w:asciiTheme="minorHAnsi" w:hAnsiTheme="minorHAnsi" w:cstheme="minorHAnsi"/>
                <w:noProof/>
                <w:szCs w:val="22"/>
              </w:rPr>
            </w:pPr>
          </w:p>
        </w:tc>
        <w:tc>
          <w:tcPr>
            <w:tcW w:w="774" w:type="pct"/>
            <w:tcBorders>
              <w:left w:val="nil"/>
              <w:bottom w:val="nil"/>
            </w:tcBorders>
          </w:tcPr>
          <w:p w14:paraId="408FE339" w14:textId="77777777" w:rsidR="000C4729" w:rsidRPr="000F7476" w:rsidRDefault="000C4729" w:rsidP="005674F5">
            <w:pPr>
              <w:pStyle w:val="Header"/>
              <w:jc w:val="both"/>
              <w:rPr>
                <w:rFonts w:asciiTheme="minorHAnsi" w:hAnsiTheme="minorHAnsi" w:cstheme="minorHAnsi"/>
                <w:noProof/>
                <w:szCs w:val="22"/>
              </w:rPr>
            </w:pPr>
          </w:p>
        </w:tc>
      </w:tr>
      <w:tr w:rsidR="000C4729" w:rsidRPr="000F7476" w14:paraId="3012E810" w14:textId="77777777" w:rsidTr="001820A4">
        <w:tc>
          <w:tcPr>
            <w:tcW w:w="4226" w:type="pct"/>
            <w:tcBorders>
              <w:right w:val="nil"/>
            </w:tcBorders>
          </w:tcPr>
          <w:p w14:paraId="685AAF80" w14:textId="77777777" w:rsidR="000C4729" w:rsidRPr="000F7476" w:rsidRDefault="000C4729" w:rsidP="005674F5">
            <w:pPr>
              <w:pStyle w:val="Header"/>
              <w:jc w:val="both"/>
              <w:rPr>
                <w:rFonts w:asciiTheme="minorHAnsi" w:hAnsiTheme="minorHAnsi" w:cstheme="minorHAnsi"/>
                <w:noProof/>
                <w:szCs w:val="22"/>
              </w:rPr>
            </w:pPr>
          </w:p>
        </w:tc>
        <w:tc>
          <w:tcPr>
            <w:tcW w:w="774" w:type="pct"/>
            <w:tcBorders>
              <w:left w:val="nil"/>
            </w:tcBorders>
          </w:tcPr>
          <w:p w14:paraId="7A0BC1B3" w14:textId="77777777" w:rsidR="000C4729" w:rsidRPr="000F7476" w:rsidRDefault="000C4729" w:rsidP="005674F5">
            <w:pPr>
              <w:pStyle w:val="Header"/>
              <w:jc w:val="both"/>
              <w:rPr>
                <w:rFonts w:asciiTheme="minorHAnsi" w:hAnsiTheme="minorHAnsi" w:cstheme="minorHAnsi"/>
                <w:noProof/>
                <w:szCs w:val="22"/>
              </w:rPr>
            </w:pPr>
          </w:p>
        </w:tc>
      </w:tr>
    </w:tbl>
    <w:p w14:paraId="605D875A"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4BE9B26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5F6F1920"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rPr>
        <w:t>Signed:</w:t>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t>Chief Engineer</w:t>
      </w:r>
    </w:p>
    <w:p w14:paraId="4423C16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2AC08CE0"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37E9472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Cs/>
        </w:rPr>
      </w:pPr>
      <w:r w:rsidRPr="000F7476">
        <w:rPr>
          <w:rFonts w:asciiTheme="minorHAnsi" w:hAnsiTheme="minorHAnsi" w:cstheme="minorHAnsi"/>
        </w:rPr>
        <w:t>Signed:</w:t>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rPr>
        <w:tab/>
      </w:r>
      <w:r w:rsidRPr="000F7476">
        <w:rPr>
          <w:rFonts w:asciiTheme="minorHAnsi" w:hAnsiTheme="minorHAnsi" w:cstheme="minorHAnsi"/>
          <w:bCs/>
        </w:rPr>
        <w:t>Designated person in charge</w:t>
      </w:r>
    </w:p>
    <w:p w14:paraId="0B5AFAC9"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Cs/>
        </w:rPr>
      </w:pP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t>(State name / rank)</w:t>
      </w:r>
    </w:p>
    <w:p w14:paraId="3C53A82B"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Cs/>
        </w:rPr>
      </w:pPr>
    </w:p>
    <w:p w14:paraId="70674778"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Cs/>
        </w:rPr>
      </w:pPr>
      <w:r w:rsidRPr="000F7476">
        <w:rPr>
          <w:rFonts w:asciiTheme="minorHAnsi" w:hAnsiTheme="minorHAnsi" w:cstheme="minorHAnsi"/>
          <w:bCs/>
        </w:rPr>
        <w:t>Signed:</w:t>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t>Chief Officer</w:t>
      </w:r>
    </w:p>
    <w:p w14:paraId="452DBC3B"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Cs/>
        </w:rPr>
      </w:pPr>
    </w:p>
    <w:p w14:paraId="069B042B"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bCs/>
        </w:rPr>
      </w:pPr>
    </w:p>
    <w:p w14:paraId="03FBAC35"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bCs/>
        </w:rPr>
        <w:t>Signed:</w:t>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r>
      <w:r w:rsidRPr="000F7476">
        <w:rPr>
          <w:rFonts w:asciiTheme="minorHAnsi" w:hAnsiTheme="minorHAnsi" w:cstheme="minorHAnsi"/>
          <w:bCs/>
        </w:rPr>
        <w:tab/>
        <w:t>Others (State name / rank)</w:t>
      </w:r>
    </w:p>
    <w:p w14:paraId="690A24C6"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4531B09F"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1E51A4CC"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rPr>
        <w:t>Reviewed and Signed :                                                                               Master</w:t>
      </w:r>
    </w:p>
    <w:p w14:paraId="3D2BE23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p>
    <w:p w14:paraId="0B71B314" w14:textId="77777777" w:rsidR="000C4729" w:rsidRPr="000F7476" w:rsidRDefault="000C4729" w:rsidP="005674F5">
      <w:p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rPr>
        <w:t>To be attached to this plan:-</w:t>
      </w:r>
    </w:p>
    <w:p w14:paraId="23EFB2DA" w14:textId="77777777" w:rsidR="000C4729" w:rsidRPr="000F7476" w:rsidRDefault="000C4729" w:rsidP="005674F5">
      <w:pPr>
        <w:pStyle w:val="ListParagraph"/>
        <w:numPr>
          <w:ilvl w:val="0"/>
          <w:numId w:val="1"/>
        </w:num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rPr>
        <w:t>Material Safety Data Sheet</w:t>
      </w:r>
    </w:p>
    <w:p w14:paraId="3DAD0B98" w14:textId="77777777" w:rsidR="000C4729" w:rsidRPr="000F7476" w:rsidRDefault="000C4729" w:rsidP="005674F5">
      <w:pPr>
        <w:pStyle w:val="ListParagraph"/>
        <w:numPr>
          <w:ilvl w:val="0"/>
          <w:numId w:val="1"/>
        </w:num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rPr>
        <w:t>Bunker Stem / Sludge or Bilge water transfer agreement</w:t>
      </w:r>
    </w:p>
    <w:p w14:paraId="32A29B1D" w14:textId="77777777" w:rsidR="000C4729" w:rsidRPr="000F7476" w:rsidRDefault="000C4729" w:rsidP="005674F5">
      <w:pPr>
        <w:pStyle w:val="ListParagraph"/>
        <w:numPr>
          <w:ilvl w:val="0"/>
          <w:numId w:val="1"/>
        </w:numPr>
        <w:autoSpaceDE w:val="0"/>
        <w:autoSpaceDN w:val="0"/>
        <w:adjustRightInd w:val="0"/>
        <w:spacing w:after="0" w:line="240" w:lineRule="auto"/>
        <w:jc w:val="both"/>
        <w:rPr>
          <w:rFonts w:asciiTheme="minorHAnsi" w:hAnsiTheme="minorHAnsi" w:cstheme="minorHAnsi"/>
        </w:rPr>
      </w:pPr>
      <w:r w:rsidRPr="000F7476">
        <w:rPr>
          <w:rFonts w:asciiTheme="minorHAnsi" w:hAnsiTheme="minorHAnsi" w:cstheme="minorHAnsi"/>
        </w:rPr>
        <w:t xml:space="preserve">Bunker system diagram showing distribution of tanks and valves. </w:t>
      </w:r>
    </w:p>
    <w:p w14:paraId="7CC855C3" w14:textId="7686269E" w:rsidR="004662AE" w:rsidRPr="000F7476" w:rsidRDefault="004662AE" w:rsidP="005674F5">
      <w:pPr>
        <w:jc w:val="both"/>
        <w:rPr>
          <w:rFonts w:asciiTheme="minorHAnsi" w:hAnsiTheme="minorHAnsi" w:cstheme="minorHAnsi"/>
        </w:rPr>
      </w:pPr>
      <w:r w:rsidRPr="000F7476">
        <w:rPr>
          <w:rFonts w:asciiTheme="minorHAnsi" w:hAnsiTheme="minorHAnsi" w:cstheme="minorHAnsi"/>
        </w:rPr>
        <w:t xml:space="preserve"> </w:t>
      </w:r>
    </w:p>
    <w:sectPr w:rsidR="004662AE" w:rsidRPr="000F7476" w:rsidSect="00CE0C30">
      <w:headerReference w:type="default" r:id="rId11"/>
      <w:footerReference w:type="default" r:id="rId12"/>
      <w:pgSz w:w="12240" w:h="15840"/>
      <w:pgMar w:top="87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32CE" w14:textId="77777777" w:rsidR="00267135" w:rsidRDefault="00267135" w:rsidP="00CE0C30">
      <w:pPr>
        <w:spacing w:after="0" w:line="240" w:lineRule="auto"/>
      </w:pPr>
      <w:r>
        <w:separator/>
      </w:r>
    </w:p>
  </w:endnote>
  <w:endnote w:type="continuationSeparator" w:id="0">
    <w:p w14:paraId="056F72E8" w14:textId="77777777" w:rsidR="00267135" w:rsidRDefault="00267135" w:rsidP="00CE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55CD" w14:textId="52D72885" w:rsidR="00565D7B" w:rsidRPr="000C4729" w:rsidRDefault="00565D7B" w:rsidP="000C4729">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A94A7" w14:textId="77777777" w:rsidR="00267135" w:rsidRDefault="00267135" w:rsidP="00CE0C30">
      <w:pPr>
        <w:spacing w:after="0" w:line="240" w:lineRule="auto"/>
      </w:pPr>
      <w:r>
        <w:separator/>
      </w:r>
    </w:p>
  </w:footnote>
  <w:footnote w:type="continuationSeparator" w:id="0">
    <w:p w14:paraId="4906C1DC" w14:textId="77777777" w:rsidR="00267135" w:rsidRDefault="00267135" w:rsidP="00CE0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horzAnchor="margin" w:tblpXSpec="center" w:tblpY="-450"/>
      <w:tblW w:w="10146" w:type="dxa"/>
      <w:jc w:val="center"/>
      <w:tblLayout w:type="fixed"/>
      <w:tblCellMar>
        <w:left w:w="43" w:type="dxa"/>
        <w:right w:w="43" w:type="dxa"/>
      </w:tblCellMar>
      <w:tblLook w:val="04A0" w:firstRow="1" w:lastRow="0" w:firstColumn="1" w:lastColumn="0" w:noHBand="0" w:noVBand="1"/>
    </w:tblPr>
    <w:tblGrid>
      <w:gridCol w:w="1678"/>
      <w:gridCol w:w="6556"/>
      <w:gridCol w:w="1912"/>
    </w:tblGrid>
    <w:tr w:rsidR="00422992" w14:paraId="512248C9" w14:textId="77777777" w:rsidTr="00AA4B29">
      <w:trPr>
        <w:cantSplit/>
        <w:trHeight w:val="147"/>
        <w:jc w:val="center"/>
      </w:trPr>
      <w:tc>
        <w:tcPr>
          <w:tcW w:w="1678" w:type="dxa"/>
          <w:vMerge w:val="restart"/>
          <w:tcBorders>
            <w:top w:val="double" w:sz="6" w:space="0" w:color="auto"/>
            <w:left w:val="double" w:sz="6" w:space="0" w:color="auto"/>
            <w:bottom w:val="double" w:sz="6" w:space="0" w:color="auto"/>
            <w:right w:val="nil"/>
          </w:tcBorders>
          <w:vAlign w:val="center"/>
          <w:hideMark/>
        </w:tcPr>
        <w:p w14:paraId="1D495FAF" w14:textId="79EAEAC8" w:rsidR="00422992" w:rsidRPr="007A0347" w:rsidRDefault="00422992" w:rsidP="00AA4B29">
          <w:pPr>
            <w:pStyle w:val="DefaultText"/>
            <w:spacing w:line="256" w:lineRule="auto"/>
            <w:jc w:val="center"/>
            <w:rPr>
              <w:b/>
              <w:bCs/>
              <w:lang w:bidi="th-TH"/>
            </w:rPr>
          </w:pPr>
          <w:r>
            <w:rPr>
              <w:b/>
              <w:bCs/>
              <w:lang w:bidi="th-TH"/>
            </w:rPr>
            <w:t>E-22B</w:t>
          </w:r>
        </w:p>
      </w:tc>
      <w:tc>
        <w:tcPr>
          <w:tcW w:w="6556" w:type="dxa"/>
          <w:tcBorders>
            <w:top w:val="double" w:sz="6" w:space="0" w:color="auto"/>
            <w:left w:val="single" w:sz="6" w:space="0" w:color="auto"/>
            <w:bottom w:val="nil"/>
            <w:right w:val="nil"/>
          </w:tcBorders>
          <w:vAlign w:val="center"/>
        </w:tcPr>
        <w:p w14:paraId="22E8766C" w14:textId="77777777" w:rsidR="00422992" w:rsidRDefault="00422992" w:rsidP="00AA4B29">
          <w:pPr>
            <w:pStyle w:val="DefaultText"/>
            <w:spacing w:line="256" w:lineRule="auto"/>
            <w:jc w:val="center"/>
            <w:rPr>
              <w:sz w:val="22"/>
              <w:lang w:bidi="th-TH"/>
            </w:rPr>
          </w:pPr>
        </w:p>
      </w:tc>
      <w:tc>
        <w:tcPr>
          <w:tcW w:w="1912" w:type="dxa"/>
          <w:tcBorders>
            <w:top w:val="double" w:sz="6" w:space="0" w:color="auto"/>
            <w:left w:val="single" w:sz="6" w:space="0" w:color="auto"/>
            <w:bottom w:val="single" w:sz="6" w:space="0" w:color="auto"/>
            <w:right w:val="double" w:sz="6" w:space="0" w:color="auto"/>
          </w:tcBorders>
          <w:vAlign w:val="center"/>
          <w:hideMark/>
        </w:tcPr>
        <w:p w14:paraId="4B13C967" w14:textId="443E05A6" w:rsidR="00422992" w:rsidRDefault="00422992" w:rsidP="00AA4B29">
          <w:pPr>
            <w:pStyle w:val="TableText"/>
            <w:spacing w:line="256" w:lineRule="auto"/>
            <w:jc w:val="center"/>
            <w:rPr>
              <w:b/>
              <w:bCs/>
              <w:sz w:val="22"/>
              <w:lang w:eastAsia="ja-JP" w:bidi="th-TH"/>
            </w:rPr>
          </w:pPr>
          <w:r>
            <w:rPr>
              <w:rFonts w:ascii="Arial" w:hAnsi="Arial"/>
              <w:b/>
              <w:bCs/>
              <w:sz w:val="16"/>
              <w:lang w:bidi="th-TH"/>
            </w:rPr>
            <w:t>Form No.: E-22B</w:t>
          </w:r>
        </w:p>
      </w:tc>
    </w:tr>
    <w:tr w:rsidR="00422992" w14:paraId="7949CBEF" w14:textId="77777777" w:rsidTr="00AA4B29">
      <w:trPr>
        <w:cantSplit/>
        <w:trHeight w:val="281"/>
        <w:jc w:val="center"/>
      </w:trPr>
      <w:tc>
        <w:tcPr>
          <w:tcW w:w="1678" w:type="dxa"/>
          <w:vMerge/>
          <w:tcBorders>
            <w:top w:val="double" w:sz="6" w:space="0" w:color="auto"/>
            <w:left w:val="double" w:sz="6" w:space="0" w:color="auto"/>
            <w:bottom w:val="double" w:sz="6" w:space="0" w:color="auto"/>
            <w:right w:val="nil"/>
          </w:tcBorders>
          <w:vAlign w:val="center"/>
          <w:hideMark/>
        </w:tcPr>
        <w:p w14:paraId="2B4F3517" w14:textId="77777777" w:rsidR="00422992" w:rsidRDefault="00422992" w:rsidP="00AA4B29">
          <w:pPr>
            <w:spacing w:line="256" w:lineRule="auto"/>
            <w:jc w:val="center"/>
            <w:rPr>
              <w:lang w:bidi="th-TH"/>
            </w:rPr>
          </w:pPr>
        </w:p>
      </w:tc>
      <w:tc>
        <w:tcPr>
          <w:tcW w:w="6556" w:type="dxa"/>
          <w:tcBorders>
            <w:top w:val="nil"/>
            <w:left w:val="single" w:sz="6" w:space="0" w:color="auto"/>
            <w:bottom w:val="nil"/>
            <w:right w:val="nil"/>
          </w:tcBorders>
          <w:vAlign w:val="center"/>
          <w:hideMark/>
        </w:tcPr>
        <w:p w14:paraId="18B486AE" w14:textId="77777777" w:rsidR="00422992" w:rsidRDefault="00422992" w:rsidP="00AA4B29">
          <w:pPr>
            <w:pStyle w:val="TableText"/>
            <w:spacing w:line="256" w:lineRule="auto"/>
            <w:jc w:val="center"/>
            <w:rPr>
              <w:rFonts w:ascii="Arial" w:hAnsi="Arial" w:cs="Arial"/>
              <w:b/>
              <w:bCs/>
              <w:sz w:val="28"/>
              <w:szCs w:val="28"/>
              <w:lang w:bidi="th-TH"/>
            </w:rPr>
          </w:pPr>
        </w:p>
      </w:tc>
      <w:tc>
        <w:tcPr>
          <w:tcW w:w="1912" w:type="dxa"/>
          <w:tcBorders>
            <w:top w:val="nil"/>
            <w:left w:val="single" w:sz="6" w:space="0" w:color="auto"/>
            <w:bottom w:val="single" w:sz="6" w:space="0" w:color="auto"/>
            <w:right w:val="double" w:sz="6" w:space="0" w:color="auto"/>
          </w:tcBorders>
          <w:vAlign w:val="center"/>
          <w:hideMark/>
        </w:tcPr>
        <w:p w14:paraId="609F7416" w14:textId="3F9C585C" w:rsidR="00422992" w:rsidRPr="000C678F" w:rsidRDefault="00422992" w:rsidP="00AA4B29">
          <w:pPr>
            <w:pStyle w:val="TableText"/>
            <w:spacing w:line="256" w:lineRule="auto"/>
            <w:jc w:val="center"/>
            <w:rPr>
              <w:rFonts w:ascii="Arial" w:hAnsi="Arial"/>
              <w:color w:val="FF0000"/>
              <w:sz w:val="14"/>
              <w:lang w:bidi="th-TH"/>
            </w:rPr>
          </w:pPr>
          <w:r w:rsidRPr="000C678F">
            <w:rPr>
              <w:rFonts w:ascii="Arial" w:hAnsi="Arial"/>
              <w:color w:val="FF0000"/>
              <w:sz w:val="14"/>
              <w:lang w:bidi="th-TH"/>
            </w:rPr>
            <w:t xml:space="preserve">Revision: </w:t>
          </w:r>
          <w:r w:rsidR="00544888">
            <w:rPr>
              <w:rFonts w:ascii="Arial" w:hAnsi="Arial"/>
              <w:color w:val="FF0000"/>
              <w:sz w:val="14"/>
              <w:lang w:bidi="th-TH"/>
            </w:rPr>
            <w:t>1</w:t>
          </w:r>
        </w:p>
        <w:p w14:paraId="603556A4" w14:textId="77777777" w:rsidR="00422992" w:rsidRDefault="00422992" w:rsidP="00AA4B29">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422992" w14:paraId="2B89A876" w14:textId="77777777" w:rsidTr="00AA4B29">
      <w:trPr>
        <w:cantSplit/>
        <w:trHeight w:val="281"/>
        <w:jc w:val="center"/>
      </w:trPr>
      <w:tc>
        <w:tcPr>
          <w:tcW w:w="1678" w:type="dxa"/>
          <w:vMerge/>
          <w:tcBorders>
            <w:top w:val="double" w:sz="6" w:space="0" w:color="auto"/>
            <w:left w:val="double" w:sz="6" w:space="0" w:color="auto"/>
            <w:bottom w:val="double" w:sz="6" w:space="0" w:color="auto"/>
            <w:right w:val="nil"/>
          </w:tcBorders>
          <w:vAlign w:val="center"/>
          <w:hideMark/>
        </w:tcPr>
        <w:p w14:paraId="1F21816B" w14:textId="77777777" w:rsidR="00422992" w:rsidRDefault="00422992" w:rsidP="00AA4B29">
          <w:pPr>
            <w:spacing w:line="256" w:lineRule="auto"/>
            <w:jc w:val="center"/>
            <w:rPr>
              <w:lang w:bidi="th-TH"/>
            </w:rPr>
          </w:pPr>
        </w:p>
      </w:tc>
      <w:tc>
        <w:tcPr>
          <w:tcW w:w="6556" w:type="dxa"/>
          <w:tcBorders>
            <w:top w:val="nil"/>
            <w:left w:val="single" w:sz="6" w:space="0" w:color="auto"/>
            <w:bottom w:val="nil"/>
            <w:right w:val="nil"/>
          </w:tcBorders>
          <w:vAlign w:val="center"/>
          <w:hideMark/>
        </w:tcPr>
        <w:p w14:paraId="636EA76E" w14:textId="1A6B890C" w:rsidR="00422992" w:rsidRDefault="00422992" w:rsidP="00AA4B29">
          <w:pPr>
            <w:pStyle w:val="TableText"/>
            <w:spacing w:line="256" w:lineRule="auto"/>
            <w:jc w:val="center"/>
            <w:rPr>
              <w:b/>
              <w:bCs/>
              <w:lang w:eastAsia="ja-JP" w:bidi="th-TH"/>
            </w:rPr>
          </w:pPr>
          <w:r>
            <w:rPr>
              <w:rFonts w:ascii="Arial" w:hAnsi="Arial"/>
              <w:b/>
              <w:color w:val="000000"/>
              <w:spacing w:val="-3"/>
            </w:rPr>
            <w:t xml:space="preserve"> Bunker Plan</w:t>
          </w:r>
        </w:p>
      </w:tc>
      <w:tc>
        <w:tcPr>
          <w:tcW w:w="1912" w:type="dxa"/>
          <w:tcBorders>
            <w:top w:val="nil"/>
            <w:left w:val="single" w:sz="6" w:space="0" w:color="auto"/>
            <w:bottom w:val="single" w:sz="6" w:space="0" w:color="auto"/>
            <w:right w:val="double" w:sz="6" w:space="0" w:color="auto"/>
          </w:tcBorders>
          <w:vAlign w:val="center"/>
          <w:hideMark/>
        </w:tcPr>
        <w:p w14:paraId="271A24B1" w14:textId="77777777" w:rsidR="00422992" w:rsidRDefault="00422992" w:rsidP="00AA4B29">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30FE6C33" w14:textId="77777777" w:rsidR="00422992" w:rsidRDefault="00422992" w:rsidP="00AA4B29">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422992" w14:paraId="30583640" w14:textId="77777777" w:rsidTr="00AA4B29">
      <w:trPr>
        <w:cantSplit/>
        <w:trHeight w:val="35"/>
        <w:jc w:val="center"/>
      </w:trPr>
      <w:tc>
        <w:tcPr>
          <w:tcW w:w="1678" w:type="dxa"/>
          <w:vMerge/>
          <w:tcBorders>
            <w:top w:val="double" w:sz="6" w:space="0" w:color="auto"/>
            <w:left w:val="double" w:sz="6" w:space="0" w:color="auto"/>
            <w:bottom w:val="double" w:sz="6" w:space="0" w:color="auto"/>
            <w:right w:val="nil"/>
          </w:tcBorders>
          <w:vAlign w:val="center"/>
          <w:hideMark/>
        </w:tcPr>
        <w:p w14:paraId="5B1078BA" w14:textId="77777777" w:rsidR="00422992" w:rsidRDefault="00422992" w:rsidP="00AA4B29">
          <w:pPr>
            <w:spacing w:line="256" w:lineRule="auto"/>
            <w:jc w:val="center"/>
            <w:rPr>
              <w:lang w:bidi="th-TH"/>
            </w:rPr>
          </w:pPr>
        </w:p>
      </w:tc>
      <w:tc>
        <w:tcPr>
          <w:tcW w:w="6556" w:type="dxa"/>
          <w:tcBorders>
            <w:top w:val="nil"/>
            <w:left w:val="single" w:sz="6" w:space="0" w:color="auto"/>
            <w:bottom w:val="double" w:sz="6" w:space="0" w:color="auto"/>
            <w:right w:val="nil"/>
          </w:tcBorders>
          <w:vAlign w:val="center"/>
        </w:tcPr>
        <w:p w14:paraId="21F46AD0" w14:textId="77777777" w:rsidR="00422992" w:rsidRPr="00463AF1" w:rsidRDefault="00422992" w:rsidP="00AA4B29">
          <w:pPr>
            <w:pStyle w:val="TableText"/>
            <w:spacing w:line="256" w:lineRule="auto"/>
            <w:jc w:val="center"/>
            <w:rPr>
              <w:rFonts w:ascii="Aptos" w:hAnsi="Aptos" w:cs="Aptos"/>
              <w:b/>
            </w:rPr>
          </w:pPr>
        </w:p>
      </w:tc>
      <w:tc>
        <w:tcPr>
          <w:tcW w:w="1912" w:type="dxa"/>
          <w:tcBorders>
            <w:top w:val="nil"/>
            <w:left w:val="single" w:sz="6" w:space="0" w:color="auto"/>
            <w:bottom w:val="double" w:sz="6" w:space="0" w:color="auto"/>
            <w:right w:val="double" w:sz="6" w:space="0" w:color="auto"/>
          </w:tcBorders>
          <w:vAlign w:val="center"/>
          <w:hideMark/>
        </w:tcPr>
        <w:p w14:paraId="38B26EFA" w14:textId="77777777" w:rsidR="00422992" w:rsidRDefault="00422992" w:rsidP="00AA4B29">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7CC855CA" w14:textId="28C7FD1C" w:rsidR="00565D7B" w:rsidRPr="000C4729" w:rsidRDefault="00565D7B" w:rsidP="000C4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F415E"/>
    <w:multiLevelType w:val="hybridMultilevel"/>
    <w:tmpl w:val="DCC62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81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KxsDQ0tTQwsrQwszBX0lEKTi0uzszPAykwrgUAa7PEPiwAAAA="/>
  </w:docVars>
  <w:rsids>
    <w:rsidRoot w:val="00160E18"/>
    <w:rsid w:val="00010B2E"/>
    <w:rsid w:val="000421CF"/>
    <w:rsid w:val="00061C7C"/>
    <w:rsid w:val="000866C9"/>
    <w:rsid w:val="000A581E"/>
    <w:rsid w:val="000C13A4"/>
    <w:rsid w:val="000C2924"/>
    <w:rsid w:val="000C3FBD"/>
    <w:rsid w:val="000C4729"/>
    <w:rsid w:val="000C54FB"/>
    <w:rsid w:val="000D1E8E"/>
    <w:rsid w:val="000E2C0D"/>
    <w:rsid w:val="000F7476"/>
    <w:rsid w:val="00104F46"/>
    <w:rsid w:val="001162F0"/>
    <w:rsid w:val="00130574"/>
    <w:rsid w:val="00160E18"/>
    <w:rsid w:val="00176E56"/>
    <w:rsid w:val="0018111A"/>
    <w:rsid w:val="00182B16"/>
    <w:rsid w:val="002336E1"/>
    <w:rsid w:val="002350CE"/>
    <w:rsid w:val="002646A3"/>
    <w:rsid w:val="00267135"/>
    <w:rsid w:val="00270DDF"/>
    <w:rsid w:val="002F0696"/>
    <w:rsid w:val="003074A8"/>
    <w:rsid w:val="00311FF3"/>
    <w:rsid w:val="00333BD1"/>
    <w:rsid w:val="0036038C"/>
    <w:rsid w:val="00362CC0"/>
    <w:rsid w:val="00373B68"/>
    <w:rsid w:val="00394702"/>
    <w:rsid w:val="003C7476"/>
    <w:rsid w:val="0040377B"/>
    <w:rsid w:val="00422992"/>
    <w:rsid w:val="00425532"/>
    <w:rsid w:val="004662AE"/>
    <w:rsid w:val="00474685"/>
    <w:rsid w:val="0048220B"/>
    <w:rsid w:val="004836E0"/>
    <w:rsid w:val="004B3D99"/>
    <w:rsid w:val="004B4E19"/>
    <w:rsid w:val="004D1BB2"/>
    <w:rsid w:val="004E50BB"/>
    <w:rsid w:val="00513F9C"/>
    <w:rsid w:val="0052176F"/>
    <w:rsid w:val="0054071C"/>
    <w:rsid w:val="005417FC"/>
    <w:rsid w:val="00544888"/>
    <w:rsid w:val="00565D7B"/>
    <w:rsid w:val="005674F5"/>
    <w:rsid w:val="005B5E4C"/>
    <w:rsid w:val="00600990"/>
    <w:rsid w:val="00602745"/>
    <w:rsid w:val="00653B55"/>
    <w:rsid w:val="006A3638"/>
    <w:rsid w:val="006B1EDD"/>
    <w:rsid w:val="006E2EFE"/>
    <w:rsid w:val="006F245C"/>
    <w:rsid w:val="00733A67"/>
    <w:rsid w:val="00740DF1"/>
    <w:rsid w:val="0075759B"/>
    <w:rsid w:val="00785578"/>
    <w:rsid w:val="007C14FD"/>
    <w:rsid w:val="007C3B57"/>
    <w:rsid w:val="007C5E26"/>
    <w:rsid w:val="007D0CC9"/>
    <w:rsid w:val="007F3D5B"/>
    <w:rsid w:val="0080665C"/>
    <w:rsid w:val="00830D6C"/>
    <w:rsid w:val="00853BCD"/>
    <w:rsid w:val="0086072C"/>
    <w:rsid w:val="00867D31"/>
    <w:rsid w:val="00882699"/>
    <w:rsid w:val="008A544A"/>
    <w:rsid w:val="008E0CC0"/>
    <w:rsid w:val="008F2471"/>
    <w:rsid w:val="00901BAF"/>
    <w:rsid w:val="00903E9D"/>
    <w:rsid w:val="00910E6E"/>
    <w:rsid w:val="00913C2F"/>
    <w:rsid w:val="00915C8B"/>
    <w:rsid w:val="00935AB2"/>
    <w:rsid w:val="00952D3C"/>
    <w:rsid w:val="009612FD"/>
    <w:rsid w:val="0096140B"/>
    <w:rsid w:val="009676C3"/>
    <w:rsid w:val="0098746A"/>
    <w:rsid w:val="009B306A"/>
    <w:rsid w:val="009C5270"/>
    <w:rsid w:val="009C637C"/>
    <w:rsid w:val="009D6E69"/>
    <w:rsid w:val="009F0B6D"/>
    <w:rsid w:val="00A00395"/>
    <w:rsid w:val="00A00709"/>
    <w:rsid w:val="00A82AC7"/>
    <w:rsid w:val="00A86163"/>
    <w:rsid w:val="00A953D8"/>
    <w:rsid w:val="00AA4B29"/>
    <w:rsid w:val="00AB39D9"/>
    <w:rsid w:val="00AF1CE4"/>
    <w:rsid w:val="00B32F51"/>
    <w:rsid w:val="00B347FF"/>
    <w:rsid w:val="00B57737"/>
    <w:rsid w:val="00B70F60"/>
    <w:rsid w:val="00B9548C"/>
    <w:rsid w:val="00BA5668"/>
    <w:rsid w:val="00BB6BD8"/>
    <w:rsid w:val="00BE5F08"/>
    <w:rsid w:val="00BF24C8"/>
    <w:rsid w:val="00C1009E"/>
    <w:rsid w:val="00C35515"/>
    <w:rsid w:val="00C64CA3"/>
    <w:rsid w:val="00C66701"/>
    <w:rsid w:val="00C73AB6"/>
    <w:rsid w:val="00C83879"/>
    <w:rsid w:val="00CA4F2B"/>
    <w:rsid w:val="00CB2B44"/>
    <w:rsid w:val="00CC1992"/>
    <w:rsid w:val="00CD7EF6"/>
    <w:rsid w:val="00CE0C30"/>
    <w:rsid w:val="00D0168C"/>
    <w:rsid w:val="00D47288"/>
    <w:rsid w:val="00D57354"/>
    <w:rsid w:val="00D823FC"/>
    <w:rsid w:val="00DB1730"/>
    <w:rsid w:val="00DB4E5F"/>
    <w:rsid w:val="00E14311"/>
    <w:rsid w:val="00EB3430"/>
    <w:rsid w:val="00EB3D60"/>
    <w:rsid w:val="00EC0016"/>
    <w:rsid w:val="00F33170"/>
    <w:rsid w:val="00F56091"/>
    <w:rsid w:val="00F700E2"/>
    <w:rsid w:val="00FB17E1"/>
    <w:rsid w:val="00FB4A7F"/>
    <w:rsid w:val="00FF1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C85469"/>
  <w15:docId w15:val="{DCAD5E64-E772-4C1E-963E-81EF6541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430"/>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5C8B"/>
    <w:pPr>
      <w:tabs>
        <w:tab w:val="center" w:pos="4320"/>
        <w:tab w:val="right" w:pos="8640"/>
      </w:tabs>
      <w:spacing w:after="0" w:line="240" w:lineRule="auto"/>
    </w:pPr>
    <w:rPr>
      <w:rFonts w:ascii="Times New Roman" w:eastAsia="Times New Roman" w:hAnsi="Times New Roman"/>
      <w:szCs w:val="20"/>
      <w:lang w:val="en-GB"/>
    </w:rPr>
  </w:style>
  <w:style w:type="character" w:customStyle="1" w:styleId="HeaderChar">
    <w:name w:val="Header Char"/>
    <w:basedOn w:val="DefaultParagraphFont"/>
    <w:link w:val="Header"/>
    <w:uiPriority w:val="99"/>
    <w:locked/>
    <w:rsid w:val="00915C8B"/>
    <w:rPr>
      <w:rFonts w:ascii="Times New Roman" w:hAnsi="Times New Roman" w:cs="Times New Roman"/>
      <w:sz w:val="20"/>
      <w:szCs w:val="20"/>
      <w:lang w:val="en-GB"/>
    </w:rPr>
  </w:style>
  <w:style w:type="table" w:styleId="TableGrid">
    <w:name w:val="Table Grid"/>
    <w:basedOn w:val="TableNormal"/>
    <w:uiPriority w:val="99"/>
    <w:rsid w:val="00915C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913C2F"/>
    <w:pPr>
      <w:ind w:left="720"/>
      <w:contextualSpacing/>
    </w:pPr>
  </w:style>
  <w:style w:type="character" w:styleId="Hyperlink">
    <w:name w:val="Hyperlink"/>
    <w:basedOn w:val="DefaultParagraphFont"/>
    <w:uiPriority w:val="99"/>
    <w:rsid w:val="000A581E"/>
    <w:rPr>
      <w:rFonts w:cs="Times New Roman"/>
      <w:color w:val="0000FF"/>
      <w:u w:val="single"/>
    </w:rPr>
  </w:style>
  <w:style w:type="character" w:styleId="FollowedHyperlink">
    <w:name w:val="FollowedHyperlink"/>
    <w:basedOn w:val="DefaultParagraphFont"/>
    <w:uiPriority w:val="99"/>
    <w:semiHidden/>
    <w:rsid w:val="000A581E"/>
    <w:rPr>
      <w:rFonts w:cs="Times New Roman"/>
      <w:color w:val="800080"/>
      <w:u w:val="single"/>
    </w:rPr>
  </w:style>
  <w:style w:type="paragraph" w:styleId="Footer">
    <w:name w:val="footer"/>
    <w:basedOn w:val="Normal"/>
    <w:link w:val="FooterChar"/>
    <w:unhideWhenUsed/>
    <w:rsid w:val="00CE0C30"/>
    <w:pPr>
      <w:tabs>
        <w:tab w:val="center" w:pos="4513"/>
        <w:tab w:val="right" w:pos="9026"/>
      </w:tabs>
    </w:pPr>
  </w:style>
  <w:style w:type="character" w:customStyle="1" w:styleId="FooterChar">
    <w:name w:val="Footer Char"/>
    <w:basedOn w:val="DefaultParagraphFont"/>
    <w:link w:val="Footer"/>
    <w:rsid w:val="00CE0C30"/>
  </w:style>
  <w:style w:type="paragraph" w:styleId="BalloonText">
    <w:name w:val="Balloon Text"/>
    <w:basedOn w:val="Normal"/>
    <w:link w:val="BalloonTextChar"/>
    <w:uiPriority w:val="99"/>
    <w:semiHidden/>
    <w:unhideWhenUsed/>
    <w:rsid w:val="00CE0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C30"/>
    <w:rPr>
      <w:rFonts w:ascii="Tahoma" w:hAnsi="Tahoma" w:cs="Tahoma"/>
      <w:sz w:val="16"/>
      <w:szCs w:val="16"/>
    </w:rPr>
  </w:style>
  <w:style w:type="character" w:styleId="PageNumber">
    <w:name w:val="page number"/>
    <w:basedOn w:val="DefaultParagraphFont"/>
    <w:rsid w:val="00867D31"/>
    <w:rPr>
      <w:rFonts w:ascii="Tahoma" w:hAnsi="Tahoma"/>
    </w:rPr>
  </w:style>
  <w:style w:type="character" w:styleId="Emphasis">
    <w:name w:val="Emphasis"/>
    <w:basedOn w:val="DefaultParagraphFont"/>
    <w:qFormat/>
    <w:locked/>
    <w:rsid w:val="00653B55"/>
    <w:rPr>
      <w:i/>
      <w:iCs/>
    </w:rPr>
  </w:style>
  <w:style w:type="paragraph" w:styleId="BodyText">
    <w:name w:val="Body Text"/>
    <w:basedOn w:val="Normal"/>
    <w:link w:val="BodyTextChar"/>
    <w:autoRedefine/>
    <w:rsid w:val="009B306A"/>
    <w:pPr>
      <w:spacing w:after="240" w:line="240" w:lineRule="auto"/>
    </w:pPr>
    <w:rPr>
      <w:rFonts w:ascii="Tahoma" w:eastAsia="Times New Roman" w:hAnsi="Tahoma" w:cs="Tahoma"/>
      <w:sz w:val="16"/>
      <w:szCs w:val="16"/>
    </w:rPr>
  </w:style>
  <w:style w:type="character" w:customStyle="1" w:styleId="BodyTextChar">
    <w:name w:val="Body Text Char"/>
    <w:basedOn w:val="DefaultParagraphFont"/>
    <w:link w:val="BodyText"/>
    <w:rsid w:val="009B306A"/>
    <w:rPr>
      <w:rFonts w:ascii="Tahoma" w:eastAsia="Times New Roman" w:hAnsi="Tahoma" w:cs="Tahoma"/>
      <w:sz w:val="16"/>
      <w:szCs w:val="16"/>
      <w:lang w:val="en-US" w:eastAsia="en-US"/>
    </w:rPr>
  </w:style>
  <w:style w:type="character" w:styleId="PlaceholderText">
    <w:name w:val="Placeholder Text"/>
    <w:basedOn w:val="DefaultParagraphFont"/>
    <w:rsid w:val="000C4729"/>
    <w:rPr>
      <w:color w:val="808080"/>
    </w:rPr>
  </w:style>
  <w:style w:type="paragraph" w:customStyle="1" w:styleId="TableText">
    <w:name w:val="Table Text"/>
    <w:basedOn w:val="Normal"/>
    <w:rsid w:val="00422992"/>
    <w:pPr>
      <w:overflowPunct w:val="0"/>
      <w:autoSpaceDE w:val="0"/>
      <w:autoSpaceDN w:val="0"/>
      <w:adjustRightInd w:val="0"/>
      <w:spacing w:after="0" w:line="240" w:lineRule="auto"/>
      <w:textAlignment w:val="baseline"/>
    </w:pPr>
    <w:rPr>
      <w:rFonts w:ascii="Times New Roman" w:eastAsia="MS Mincho" w:hAnsi="Times New Roman"/>
      <w:sz w:val="24"/>
      <w:szCs w:val="24"/>
      <w:lang w:val="en-GB"/>
    </w:rPr>
  </w:style>
  <w:style w:type="paragraph" w:customStyle="1" w:styleId="DefaultText">
    <w:name w:val="Default Text"/>
    <w:basedOn w:val="Normal"/>
    <w:rsid w:val="00422992"/>
    <w:pPr>
      <w:overflowPunct w:val="0"/>
      <w:autoSpaceDE w:val="0"/>
      <w:autoSpaceDN w:val="0"/>
      <w:adjustRightInd w:val="0"/>
      <w:spacing w:after="0" w:line="240" w:lineRule="auto"/>
      <w:textAlignment w:val="baseline"/>
    </w:pPr>
    <w:rPr>
      <w:rFonts w:ascii="Times New Roman" w:eastAsia="MS Mincho"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02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BE7A34F52047698A057BB03EB7E754"/>
        <w:category>
          <w:name w:val="General"/>
          <w:gallery w:val="placeholder"/>
        </w:category>
        <w:types>
          <w:type w:val="bbPlcHdr"/>
        </w:types>
        <w:behaviors>
          <w:behavior w:val="content"/>
        </w:behaviors>
        <w:guid w:val="{0DD1FFA6-FACE-42C1-B476-F403F28F89EC}"/>
      </w:docPartPr>
      <w:docPartBody>
        <w:p w:rsidR="00CC7CC3" w:rsidRDefault="007522E8">
          <w:r w:rsidRPr="0098447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E8"/>
    <w:rsid w:val="002C75BD"/>
    <w:rsid w:val="004D1BB2"/>
    <w:rsid w:val="0052176F"/>
    <w:rsid w:val="006A1203"/>
    <w:rsid w:val="007522E8"/>
    <w:rsid w:val="007E5667"/>
    <w:rsid w:val="008F2471"/>
    <w:rsid w:val="00AF1CE4"/>
    <w:rsid w:val="00CC7CC3"/>
    <w:rsid w:val="00D24813"/>
    <w:rsid w:val="00DF1F23"/>
    <w:rsid w:val="00F359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en-I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522E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3EB53-E870-474D-9D03-99B0E6746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678C80E-0F72-4E4C-B25B-BF61515B4D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EB1566-C68D-4A63-9764-219F5F74A91E}">
  <ds:schemaRefs>
    <ds:schemaRef ds:uri="http://schemas.microsoft.com/sharepoint/v3/contenttype/forms"/>
  </ds:schemaRefs>
</ds:datastoreItem>
</file>

<file path=customXml/itemProps4.xml><?xml version="1.0" encoding="utf-8"?>
<ds:datastoreItem xmlns:ds="http://schemas.openxmlformats.org/officeDocument/2006/customXml" ds:itemID="{162D0A06-18E2-468E-B136-F1BB4CE1B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Bunker Plan</dc:title>
  <dc:creator>McGowan, Kathleen</dc:creator>
  <cp:lastModifiedBy>Muhammed sabeeh</cp:lastModifiedBy>
  <cp:revision>33</cp:revision>
  <cp:lastPrinted>2019-11-11T15:53:00Z</cp:lastPrinted>
  <dcterms:created xsi:type="dcterms:W3CDTF">2020-03-18T09:54:00Z</dcterms:created>
  <dcterms:modified xsi:type="dcterms:W3CDTF">2025-02-19T07:39:00Z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0x010100A663DA564E1F3B47966C64F71F367A97</vt:lpwstr>
  </property>
  <property fmtid="{D5CDD505-2E9C-101B-9397-08002B2CF9AE}" pid="3" name="MSIP_Label_a2264674-cd8f-466c-b856-e08499a2c724_Enabled">
    <vt:lpwstr>true</vt:lpwstr>
  </property>
  <property fmtid="{D5CDD505-2E9C-101B-9397-08002B2CF9AE}" pid="4" name="MSIP_Label_a2264674-cd8f-466c-b856-e08499a2c724_SetDate">
    <vt:lpwstr>2022-11-12T16:29:10Z</vt:lpwstr>
  </property>
  <property fmtid="{D5CDD505-2E9C-101B-9397-08002B2CF9AE}" pid="5" name="MSIP_Label_a2264674-cd8f-466c-b856-e08499a2c724_Method">
    <vt:lpwstr>Standard</vt:lpwstr>
  </property>
  <property fmtid="{D5CDD505-2E9C-101B-9397-08002B2CF9AE}" pid="6" name="MSIP_Label_a2264674-cd8f-466c-b856-e08499a2c724_Name">
    <vt:lpwstr>Default Un-Marked Label</vt:lpwstr>
  </property>
  <property fmtid="{D5CDD505-2E9C-101B-9397-08002B2CF9AE}" pid="7" name="MSIP_Label_a2264674-cd8f-466c-b856-e08499a2c724_SiteId">
    <vt:lpwstr>ecbee5ca-a1e4-4d4e-9c24-621b2df3f698</vt:lpwstr>
  </property>
  <property fmtid="{D5CDD505-2E9C-101B-9397-08002B2CF9AE}" pid="8" name="MSIP_Label_a2264674-cd8f-466c-b856-e08499a2c724_ActionId">
    <vt:lpwstr>709c877e-b07a-4668-bb95-c673fa0c3b47</vt:lpwstr>
  </property>
  <property fmtid="{D5CDD505-2E9C-101B-9397-08002B2CF9AE}" pid="9" name="MSIP_Label_a2264674-cd8f-466c-b856-e08499a2c724_ContentBits">
    <vt:lpwstr>0</vt:lpwstr>
  </property>
</Properties>
</file>